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0A15B3D6" w:rsidR="000830E3" w:rsidRDefault="00CD293F" w:rsidP="00CD293F">
      <w:pPr>
        <w:pStyle w:val="Pagedecouverture"/>
        <w:rPr>
          <w:noProof/>
        </w:rPr>
      </w:pPr>
      <w:bookmarkStart w:id="0" w:name="LW_BM_COVERPAGE"/>
      <w:r>
        <w:rPr>
          <w:noProof/>
        </w:rPr>
        <w:pict w14:anchorId="18E88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74C0155-49FF-4F7D-9177-5E0E1245C1E9" style="width:455.25pt;height:548.25pt">
            <v:imagedata r:id="rId15" o:title=""/>
          </v:shape>
        </w:pict>
      </w:r>
    </w:p>
    <w:bookmarkEnd w:id="0"/>
    <w:p w14:paraId="2BAF3ADB" w14:textId="77777777" w:rsidR="000830E3" w:rsidRDefault="000830E3" w:rsidP="000830E3">
      <w:pPr>
        <w:rPr>
          <w:noProof/>
        </w:rPr>
        <w:sectPr w:rsidR="000830E3" w:rsidSect="00CD293F">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6A75DD53" w14:textId="77777777" w:rsidR="00AD63B1" w:rsidRPr="00756FAD" w:rsidRDefault="00AD63B1" w:rsidP="00AD63B1">
      <w:pPr>
        <w:pBdr>
          <w:top w:val="single" w:sz="4" w:space="1" w:color="auto"/>
          <w:left w:val="single" w:sz="4" w:space="4" w:color="auto"/>
          <w:bottom w:val="single" w:sz="4" w:space="1" w:color="auto"/>
          <w:right w:val="single" w:sz="4" w:space="4" w:color="auto"/>
        </w:pBdr>
        <w:rPr>
          <w:b/>
          <w:smallCaps/>
          <w:noProof/>
          <w:u w:val="single"/>
          <w:lang w:val="en-IE" w:eastAsia="fr-FR"/>
        </w:rPr>
      </w:pPr>
      <w:bookmarkStart w:id="1" w:name="_GoBack"/>
      <w:bookmarkEnd w:id="1"/>
      <w:r w:rsidRPr="00756FAD">
        <w:rPr>
          <w:b/>
          <w:smallCaps/>
          <w:noProof/>
          <w:u w:val="single"/>
          <w:lang w:val="en-IE" w:eastAsia="fr-FR"/>
        </w:rPr>
        <w:lastRenderedPageBreak/>
        <w:t>Abstract</w:t>
      </w:r>
    </w:p>
    <w:p w14:paraId="46B8AF8A" w14:textId="77777777" w:rsidR="00AD63B1" w:rsidRPr="003D171C" w:rsidRDefault="00AD63B1" w:rsidP="00AD63B1">
      <w:pPr>
        <w:pBdr>
          <w:top w:val="single" w:sz="4" w:space="1" w:color="auto"/>
          <w:left w:val="single" w:sz="4" w:space="4" w:color="auto"/>
          <w:bottom w:val="single" w:sz="4" w:space="1" w:color="auto"/>
          <w:right w:val="single" w:sz="4" w:space="4" w:color="auto"/>
        </w:pBdr>
        <w:rPr>
          <w:rFonts w:eastAsia="Calibri" w:cs="Arial"/>
          <w:noProof/>
        </w:rPr>
      </w:pPr>
      <w:r>
        <w:rPr>
          <w:noProof/>
          <w:lang w:val="en-IE" w:eastAsia="fr-FR"/>
        </w:rPr>
        <w:t>In France, t</w:t>
      </w:r>
      <w:r w:rsidRPr="559E762B">
        <w:rPr>
          <w:noProof/>
          <w:lang w:val="en-IE" w:eastAsia="fr-FR"/>
        </w:rPr>
        <w:t xml:space="preserve">he </w:t>
      </w:r>
      <w:r>
        <w:rPr>
          <w:noProof/>
          <w:lang w:val="en-IE" w:eastAsia="fr-FR"/>
        </w:rPr>
        <w:t>implementation of the</w:t>
      </w:r>
      <w:r w:rsidRPr="559E762B">
        <w:rPr>
          <w:noProof/>
          <w:lang w:val="en-IE" w:eastAsia="fr-FR"/>
        </w:rPr>
        <w:t xml:space="preserve"> </w:t>
      </w:r>
      <w:r w:rsidRPr="559E762B">
        <w:rPr>
          <w:rFonts w:eastAsia="Calibri" w:cs="Arial"/>
          <w:noProof/>
          <w:lang w:val="en-IE"/>
        </w:rPr>
        <w:t>reform</w:t>
      </w:r>
      <w:r>
        <w:rPr>
          <w:rFonts w:eastAsia="Calibri" w:cs="Arial"/>
          <w:noProof/>
          <w:lang w:val="en-IE"/>
        </w:rPr>
        <w:t xml:space="preserve"> of </w:t>
      </w:r>
      <w:r w:rsidRPr="559E762B">
        <w:rPr>
          <w:rFonts w:eastAsia="Calibri" w:cs="Arial"/>
          <w:noProof/>
          <w:lang w:val="en-IE"/>
        </w:rPr>
        <w:t xml:space="preserve">the status of magistrates </w:t>
      </w:r>
      <w:r>
        <w:rPr>
          <w:rFonts w:eastAsia="Calibri" w:cs="Arial"/>
          <w:noProof/>
          <w:lang w:val="en-IE"/>
        </w:rPr>
        <w:t xml:space="preserve">continued </w:t>
      </w:r>
      <w:r w:rsidRPr="559E762B">
        <w:rPr>
          <w:rFonts w:eastAsia="Calibri" w:cs="Arial"/>
          <w:noProof/>
        </w:rPr>
        <w:t>and</w:t>
      </w:r>
      <w:r>
        <w:rPr>
          <w:rFonts w:eastAsia="Calibri" w:cs="Arial"/>
          <w:noProof/>
        </w:rPr>
        <w:t xml:space="preserve"> there were renewed</w:t>
      </w:r>
      <w:r w:rsidRPr="559E762B">
        <w:rPr>
          <w:rFonts w:eastAsia="Calibri" w:cs="Arial"/>
          <w:noProof/>
        </w:rPr>
        <w:t xml:space="preserve"> calls </w:t>
      </w:r>
      <w:r>
        <w:rPr>
          <w:rFonts w:eastAsia="Calibri" w:cs="Arial"/>
          <w:noProof/>
        </w:rPr>
        <w:t xml:space="preserve">to further strenghten the </w:t>
      </w:r>
      <w:r w:rsidRPr="10E18783">
        <w:rPr>
          <w:rFonts w:eastAsia="Calibri" w:cs="Arial"/>
          <w:noProof/>
        </w:rPr>
        <w:t>autonomy</w:t>
      </w:r>
      <w:r>
        <w:rPr>
          <w:rFonts w:eastAsia="Calibri" w:cs="Arial"/>
          <w:noProof/>
        </w:rPr>
        <w:t xml:space="preserve"> of prosecutors</w:t>
      </w:r>
      <w:r w:rsidRPr="559E762B">
        <w:rPr>
          <w:rFonts w:eastAsia="Calibri" w:cs="Arial"/>
          <w:noProof/>
        </w:rPr>
        <w:t>. </w:t>
      </w:r>
      <w:r w:rsidRPr="559E762B">
        <w:rPr>
          <w:noProof/>
          <w:lang w:val="en-IE" w:eastAsia="fr-FR"/>
        </w:rPr>
        <w:t xml:space="preserve">The </w:t>
      </w:r>
      <w:r>
        <w:rPr>
          <w:noProof/>
          <w:lang w:val="en-IE" w:eastAsia="fr-FR"/>
        </w:rPr>
        <w:t>High</w:t>
      </w:r>
      <w:r w:rsidRPr="559E762B">
        <w:rPr>
          <w:noProof/>
          <w:lang w:val="en-IE" w:eastAsia="fr-FR"/>
        </w:rPr>
        <w:t xml:space="preserve"> Council </w:t>
      </w:r>
      <w:r>
        <w:rPr>
          <w:noProof/>
          <w:lang w:val="en-IE" w:eastAsia="fr-FR"/>
        </w:rPr>
        <w:t>for the Judiciary</w:t>
      </w:r>
      <w:r w:rsidRPr="559E762B">
        <w:rPr>
          <w:noProof/>
          <w:lang w:val="en-IE" w:eastAsia="fr-FR"/>
        </w:rPr>
        <w:t xml:space="preserve"> continued defending judicial independence in response to concerns raised by an increasing number of attacks on magistrates related to </w:t>
      </w:r>
      <w:r>
        <w:rPr>
          <w:noProof/>
          <w:lang w:val="en-IE" w:eastAsia="fr-FR"/>
        </w:rPr>
        <w:t xml:space="preserve"> judicial </w:t>
      </w:r>
      <w:r w:rsidRPr="559E762B">
        <w:rPr>
          <w:noProof/>
          <w:lang w:val="en-IE" w:eastAsia="fr-FR"/>
        </w:rPr>
        <w:t>decisions.</w:t>
      </w:r>
      <w:r>
        <w:rPr>
          <w:noProof/>
        </w:rPr>
        <w:t xml:space="preserve"> Budgetary efforts have been sustained in 2025 and 2026 to increase further the number of magistrates. Some further steps were taken to implement tools to digitalise court procedures</w:t>
      </w:r>
      <w:r w:rsidRPr="559E762B">
        <w:rPr>
          <w:noProof/>
          <w:lang w:val="en-IE" w:eastAsia="fr-FR"/>
        </w:rPr>
        <w:t xml:space="preserve">. Small court fees </w:t>
      </w:r>
      <w:r>
        <w:rPr>
          <w:noProof/>
          <w:lang w:val="en-IE" w:eastAsia="fr-FR"/>
        </w:rPr>
        <w:t>were</w:t>
      </w:r>
      <w:r w:rsidRPr="559E762B">
        <w:rPr>
          <w:noProof/>
          <w:lang w:val="en-IE" w:eastAsia="fr-FR"/>
        </w:rPr>
        <w:t xml:space="preserve"> reintroduced for access to courts </w:t>
      </w:r>
      <w:r>
        <w:rPr>
          <w:noProof/>
          <w:lang w:val="en-IE" w:eastAsia="fr-FR"/>
        </w:rPr>
        <w:t>and</w:t>
      </w:r>
      <w:r w:rsidRPr="559E762B">
        <w:rPr>
          <w:noProof/>
          <w:lang w:val="en-IE" w:eastAsia="fr-FR"/>
        </w:rPr>
        <w:t xml:space="preserve"> alternative dispute resolutions methods are increasingly encouraged. Reforms are being considered to improve the efficiency of the justice system, in particular through streamlining appeal and criminal procedures.</w:t>
      </w:r>
    </w:p>
    <w:p w14:paraId="36331AAC" w14:textId="6A51434D" w:rsidR="00AD63B1" w:rsidRDefault="00AD63B1" w:rsidP="00AD63B1">
      <w:pPr>
        <w:pBdr>
          <w:top w:val="single" w:sz="4" w:space="1" w:color="auto"/>
          <w:left w:val="single" w:sz="4" w:space="4" w:color="auto"/>
          <w:bottom w:val="single" w:sz="4" w:space="1" w:color="auto"/>
          <w:right w:val="single" w:sz="4" w:space="4" w:color="auto"/>
        </w:pBdr>
        <w:rPr>
          <w:noProof/>
          <w:color w:val="000000" w:themeColor="text1"/>
        </w:rPr>
      </w:pPr>
      <w:r w:rsidRPr="77E4AFDB">
        <w:rPr>
          <w:noProof/>
          <w:color w:val="000000" w:themeColor="text1"/>
        </w:rPr>
        <w:t xml:space="preserve">The 2025-2029 National Plan Against Corruption, setting the priorities for the next five years, was adopted in November 2025. Further efforts are being made in the prosecution of corruption cases. The High Authority for the Transparency in Public Life has been entrusted with new tasks. Some further steps have been taken in strengthening the rules on lobbying with the start of operation of the Registry on Foreign Influence, while other draft laws remain under discussion and the obligation to report lobbying has not been extended to </w:t>
      </w:r>
      <w:r w:rsidRPr="77E4AFDB">
        <w:rPr>
          <w:noProof/>
          <w:lang w:eastAsia="en-GB"/>
        </w:rPr>
        <w:t>officials at top-executive level</w:t>
      </w:r>
      <w:r w:rsidRPr="77E4AFDB">
        <w:rPr>
          <w:noProof/>
          <w:color w:val="000000" w:themeColor="text1"/>
        </w:rPr>
        <w:t>.</w:t>
      </w:r>
      <w:r w:rsidRPr="77E4AFDB">
        <w:rPr>
          <w:b/>
          <w:bCs/>
          <w:noProof/>
          <w:color w:val="000000" w:themeColor="text1"/>
        </w:rPr>
        <w:t xml:space="preserve"> </w:t>
      </w:r>
      <w:r w:rsidRPr="77E4AFDB">
        <w:rPr>
          <w:noProof/>
          <w:color w:val="000000" w:themeColor="text1"/>
        </w:rPr>
        <w:t xml:space="preserve">Measures continue to be implemented to reinforce the ethics culture within the Government and the Parliament and their staff. The integrity frameworks for police officers and magistrates are being further reinforced. The framework for the protection of whistleblowers remains robust, while the increase of reports represents a challenge in terms of resources needed to ensure their follow-up. The law on Anti-Narcotics and Organised Crime that introduced several measures aimed at reinforcing the fight against corruption when linked to organised crime </w:t>
      </w:r>
      <w:r w:rsidR="00263913">
        <w:rPr>
          <w:noProof/>
          <w:color w:val="000000" w:themeColor="text1"/>
        </w:rPr>
        <w:t>is being implemented</w:t>
      </w:r>
      <w:r w:rsidRPr="77E4AFDB">
        <w:rPr>
          <w:noProof/>
          <w:color w:val="000000" w:themeColor="text1"/>
        </w:rPr>
        <w:t>.</w:t>
      </w:r>
    </w:p>
    <w:p w14:paraId="619314A5" w14:textId="7AA08632" w:rsidR="00AD63B1" w:rsidRDefault="766A81C6" w:rsidP="1147A670">
      <w:pPr>
        <w:pBdr>
          <w:top w:val="single" w:sz="4" w:space="1" w:color="auto"/>
          <w:left w:val="single" w:sz="4" w:space="4" w:color="auto"/>
          <w:bottom w:val="single" w:sz="4" w:space="1" w:color="auto"/>
          <w:right w:val="single" w:sz="4" w:space="4" w:color="auto"/>
        </w:pBdr>
        <w:rPr>
          <w:noProof/>
          <w:lang w:val="en-IE" w:eastAsia="en-GB"/>
        </w:rPr>
      </w:pPr>
      <w:r w:rsidRPr="1147A670">
        <w:rPr>
          <w:noProof/>
          <w:lang w:val="en-IE" w:eastAsia="en-GB"/>
        </w:rPr>
        <w:t>France’s media regulator, ARCOM, is continuing to expand its regulatory scope and activities in response to new obligations and mandates. Recourse to media self-regulation has increased in recent years, indicating growing engagement with journalistic ethics. While public service media are restructuring their activities due to budget constraints, pressure on them has intensified in the public debate. Further steps were</w:t>
      </w:r>
      <w:r w:rsidRPr="1147A670">
        <w:rPr>
          <w:noProof/>
          <w:lang w:val="en-IE"/>
        </w:rPr>
        <w:t xml:space="preserve"> taken to </w:t>
      </w:r>
      <w:r>
        <w:rPr>
          <w:noProof/>
        </w:rPr>
        <w:t xml:space="preserve">improve the transparency of media ownership with the development of a </w:t>
      </w:r>
      <w:r w:rsidRPr="1147A670">
        <w:rPr>
          <w:noProof/>
          <w:lang w:val="en-IE"/>
        </w:rPr>
        <w:t>preliminary transparency database, while media concentration is an increasing concern.</w:t>
      </w:r>
      <w:r w:rsidRPr="1147A670">
        <w:rPr>
          <w:noProof/>
          <w:lang w:val="en-IE" w:eastAsia="en-GB"/>
        </w:rPr>
        <w:t xml:space="preserve"> The Committee on access to administrative documents (CADA) received a record number of referrals in recent years, </w:t>
      </w:r>
      <w:r w:rsidRPr="1147A670">
        <w:rPr>
          <w:noProof/>
          <w:lang w:eastAsia="en-GB"/>
        </w:rPr>
        <w:t>while requests from journalists were in minority</w:t>
      </w:r>
      <w:r w:rsidRPr="1147A670">
        <w:rPr>
          <w:noProof/>
          <w:lang w:val="en-IE" w:eastAsia="en-GB"/>
        </w:rPr>
        <w:t xml:space="preserve">. </w:t>
      </w:r>
      <w:r w:rsidRPr="1147A670">
        <w:rPr>
          <w:noProof/>
          <w:lang w:eastAsia="en-GB"/>
        </w:rPr>
        <w:t xml:space="preserve">As regards </w:t>
      </w:r>
      <w:r w:rsidR="00AD63B1" w:rsidRPr="1147A670" w:rsidDel="766A81C6">
        <w:rPr>
          <w:noProof/>
          <w:lang w:eastAsia="en-GB"/>
        </w:rPr>
        <w:t>the working conditions for</w:t>
      </w:r>
      <w:r w:rsidRPr="1147A670">
        <w:rPr>
          <w:noProof/>
          <w:lang w:eastAsia="en-GB"/>
        </w:rPr>
        <w:t xml:space="preserve"> journalists, </w:t>
      </w:r>
      <w:r w:rsidRPr="1147A670">
        <w:rPr>
          <w:noProof/>
          <w:lang w:val="en-IE" w:eastAsia="en-GB"/>
        </w:rPr>
        <w:t xml:space="preserve">new positive developments </w:t>
      </w:r>
      <w:r w:rsidR="00194258" w:rsidRPr="1147A670">
        <w:rPr>
          <w:noProof/>
          <w:lang w:val="en-IE" w:eastAsia="en-GB"/>
        </w:rPr>
        <w:t>include</w:t>
      </w:r>
      <w:r w:rsidRPr="1147A670">
        <w:rPr>
          <w:noProof/>
          <w:lang w:val="en-IE" w:eastAsia="en-GB"/>
        </w:rPr>
        <w:t xml:space="preserve"> case law strengthening the protection of sources, alongside continued challenges related to safety and broader working environment. </w:t>
      </w:r>
    </w:p>
    <w:p w14:paraId="628BE7D0" w14:textId="29C68580" w:rsidR="004F1C77" w:rsidRDefault="00AD63B1" w:rsidP="00AD63B1">
      <w:pPr>
        <w:pBdr>
          <w:top w:val="single" w:sz="4" w:space="1" w:color="auto"/>
          <w:left w:val="single" w:sz="4" w:space="4" w:color="auto"/>
          <w:bottom w:val="single" w:sz="4" w:space="1" w:color="auto"/>
          <w:right w:val="single" w:sz="4" w:space="4" w:color="auto"/>
        </w:pBdr>
        <w:rPr>
          <w:noProof/>
          <w:lang w:val="en-IE" w:eastAsia="en-GB"/>
        </w:rPr>
      </w:pPr>
      <w:r w:rsidRPr="00804299">
        <w:rPr>
          <w:noProof/>
          <w:lang w:val="en-IE" w:eastAsia="fr-FR"/>
        </w:rPr>
        <w:t xml:space="preserve">Stakeholder engagement in law making is stable, while the reduction of </w:t>
      </w:r>
      <w:r>
        <w:rPr>
          <w:noProof/>
          <w:lang w:val="en-IE" w:eastAsia="fr-FR"/>
        </w:rPr>
        <w:t>legislative and administrative</w:t>
      </w:r>
      <w:r w:rsidRPr="00804299">
        <w:rPr>
          <w:noProof/>
          <w:lang w:val="en-IE" w:eastAsia="fr-FR"/>
        </w:rPr>
        <w:t xml:space="preserve"> burdens remains an important priority for the Government.</w:t>
      </w:r>
      <w:r>
        <w:rPr>
          <w:noProof/>
          <w:lang w:val="en-IE" w:eastAsia="fr-FR"/>
        </w:rPr>
        <w:t xml:space="preserve"> </w:t>
      </w:r>
      <w:r w:rsidRPr="00617CA8">
        <w:rPr>
          <w:noProof/>
          <w:lang w:val="en-IE" w:eastAsia="en-GB"/>
        </w:rPr>
        <w:t>Public</w:t>
      </w:r>
      <w:r w:rsidRPr="00EE1C68">
        <w:rPr>
          <w:noProof/>
          <w:lang w:val="en-IE" w:eastAsia="en-GB"/>
        </w:rPr>
        <w:t xml:space="preserve"> authorities continue to support civil society organisations, including through substantial public </w:t>
      </w:r>
      <w:r w:rsidRPr="00617CA8">
        <w:rPr>
          <w:noProof/>
          <w:lang w:val="en-IE" w:eastAsia="en-GB"/>
        </w:rPr>
        <w:t xml:space="preserve">funding, </w:t>
      </w:r>
      <w:r w:rsidRPr="559E762B">
        <w:rPr>
          <w:noProof/>
          <w:lang w:val="en-IE" w:eastAsia="en-GB"/>
        </w:rPr>
        <w:t xml:space="preserve">while some </w:t>
      </w:r>
      <w:r>
        <w:rPr>
          <w:noProof/>
          <w:lang w:val="en-IE" w:eastAsia="en-GB"/>
        </w:rPr>
        <w:t>organisations</w:t>
      </w:r>
      <w:r w:rsidRPr="559E762B">
        <w:rPr>
          <w:noProof/>
          <w:lang w:val="en-IE" w:eastAsia="en-GB"/>
        </w:rPr>
        <w:t xml:space="preserve"> continue to face challenges to their operations.</w:t>
      </w:r>
      <w:r>
        <w:rPr>
          <w:noProof/>
          <w:lang w:val="en-IE" w:eastAsia="en-GB"/>
        </w:rPr>
        <w:t xml:space="preserve"> </w:t>
      </w:r>
    </w:p>
    <w:p w14:paraId="3FFC4C01" w14:textId="77777777" w:rsidR="004F1C77" w:rsidRDefault="004F1C77">
      <w:pPr>
        <w:spacing w:after="0"/>
        <w:jc w:val="left"/>
        <w:rPr>
          <w:noProof/>
          <w:lang w:val="en-IE" w:eastAsia="en-GB"/>
        </w:rPr>
      </w:pPr>
      <w:r>
        <w:rPr>
          <w:noProof/>
          <w:lang w:val="en-IE" w:eastAsia="en-GB"/>
        </w:rPr>
        <w:br w:type="page"/>
      </w:r>
    </w:p>
    <w:p w14:paraId="1B2AB255" w14:textId="0F42E901" w:rsidR="0001306D" w:rsidRPr="00D16464" w:rsidRDefault="0001306D" w:rsidP="0001306D">
      <w:pPr>
        <w:pageBreakBefore/>
        <w:pBdr>
          <w:top w:val="single" w:sz="4" w:space="1" w:color="auto"/>
          <w:left w:val="single" w:sz="4" w:space="4" w:color="auto"/>
          <w:bottom w:val="single" w:sz="4" w:space="31" w:color="auto"/>
          <w:right w:val="single" w:sz="4" w:space="4" w:color="auto"/>
        </w:pBdr>
        <w:rPr>
          <w:b/>
          <w:smallCaps/>
          <w:noProof/>
          <w:szCs w:val="24"/>
          <w:u w:val="single"/>
          <w:lang w:val="en-IE" w:eastAsia="en-GB"/>
        </w:rPr>
      </w:pPr>
      <w:r>
        <w:rPr>
          <w:b/>
          <w:smallCaps/>
          <w:noProof/>
          <w:szCs w:val="24"/>
          <w:u w:val="single"/>
          <w:lang w:val="en-IE" w:eastAsia="en-GB"/>
        </w:rPr>
        <w:t xml:space="preserve">Recommendations </w:t>
      </w:r>
    </w:p>
    <w:p w14:paraId="50081C27" w14:textId="77777777" w:rsidR="0001306D" w:rsidRPr="00D16464" w:rsidRDefault="0001306D" w:rsidP="0001306D">
      <w:pPr>
        <w:pBdr>
          <w:top w:val="single" w:sz="4" w:space="1" w:color="auto"/>
          <w:left w:val="single" w:sz="4" w:space="4" w:color="auto"/>
          <w:bottom w:val="single" w:sz="4" w:space="31" w:color="auto"/>
          <w:right w:val="single" w:sz="4" w:space="4" w:color="auto"/>
        </w:pBdr>
        <w:rPr>
          <w:noProof/>
          <w:lang w:val="en-IE" w:eastAsia="en-GB"/>
        </w:rPr>
      </w:pPr>
      <w:r>
        <w:rPr>
          <w:noProof/>
          <w:lang w:val="en-IE" w:eastAsia="en-GB"/>
        </w:rPr>
        <w:t xml:space="preserve">Overall, based on the recommendations in the 2025 Rule of Law Report and considering other developments that took place in the period of reference, the Commission concludes the following: </w:t>
      </w:r>
    </w:p>
    <w:p w14:paraId="622CE3A0" w14:textId="77777777" w:rsidR="0001306D" w:rsidRPr="00D16464" w:rsidRDefault="0001306D" w:rsidP="0001306D">
      <w:pPr>
        <w:pStyle w:val="ListParagraph"/>
        <w:numPr>
          <w:ilvl w:val="0"/>
          <w:numId w:val="35"/>
        </w:numPr>
        <w:pBdr>
          <w:top w:val="single" w:sz="4" w:space="1" w:color="auto"/>
          <w:left w:val="single" w:sz="4" w:space="4" w:color="auto"/>
          <w:bottom w:val="single" w:sz="4" w:space="31" w:color="auto"/>
          <w:right w:val="single" w:sz="4" w:space="4" w:color="auto"/>
        </w:pBdr>
        <w:spacing w:after="0"/>
        <w:contextualSpacing w:val="0"/>
        <w:rPr>
          <w:rFonts w:eastAsia="Times New Roman"/>
          <w:noProof/>
          <w:lang w:val="en-IE" w:eastAsia="en-GB"/>
        </w:rPr>
      </w:pPr>
      <w:r>
        <w:rPr>
          <w:noProof/>
          <w:szCs w:val="24"/>
          <w:lang w:val="en-IE" w:eastAsia="fr-FR"/>
        </w:rPr>
        <w:t xml:space="preserve">Some further progress has been made on the digitalisation of judicial procedures. As this process has faced some delays, it is recommended to France to </w:t>
      </w:r>
      <w:r>
        <w:rPr>
          <w:i/>
          <w:noProof/>
          <w:szCs w:val="24"/>
          <w:lang w:val="en-IE" w:eastAsia="fr-FR"/>
        </w:rPr>
        <w:t>s</w:t>
      </w:r>
      <w:r>
        <w:rPr>
          <w:rFonts w:eastAsia="Times New Roman"/>
          <w:i/>
          <w:noProof/>
          <w:lang w:val="en-IE" w:eastAsia="en-GB"/>
        </w:rPr>
        <w:t>tep up efforts to complete ongoing projects aimed at digitalisation of civil and criminal court proceedings</w:t>
      </w:r>
      <w:r>
        <w:rPr>
          <w:rFonts w:eastAsia="Times New Roman"/>
          <w:noProof/>
          <w:lang w:val="en-IE" w:eastAsia="en-GB"/>
        </w:rPr>
        <w:t>.</w:t>
      </w:r>
    </w:p>
    <w:p w14:paraId="6F255AB2" w14:textId="77777777" w:rsidR="0001306D" w:rsidRPr="00D16464" w:rsidRDefault="0001306D" w:rsidP="0001306D">
      <w:pPr>
        <w:pStyle w:val="ListParagraph"/>
        <w:numPr>
          <w:ilvl w:val="0"/>
          <w:numId w:val="35"/>
        </w:numPr>
        <w:pBdr>
          <w:top w:val="single" w:sz="4" w:space="1" w:color="auto"/>
          <w:left w:val="single" w:sz="4" w:space="4" w:color="auto"/>
          <w:bottom w:val="single" w:sz="4" w:space="31" w:color="auto"/>
          <w:right w:val="single" w:sz="4" w:space="4" w:color="auto"/>
        </w:pBdr>
        <w:spacing w:after="0"/>
        <w:contextualSpacing w:val="0"/>
        <w:rPr>
          <w:rFonts w:eastAsia="Times New Roman"/>
          <w:i/>
          <w:noProof/>
          <w:lang w:val="en-IE" w:eastAsia="en-GB"/>
        </w:rPr>
      </w:pPr>
      <w:r>
        <w:rPr>
          <w:rFonts w:eastAsia="Times New Roman"/>
          <w:noProof/>
          <w:lang w:val="en-IE" w:eastAsia="en-GB"/>
        </w:rPr>
        <w:t xml:space="preserve">Some further progress has been made regarding the recommendation on lobbying, in particular through the strengthening of the transparency framework on foreign influence activities. As the obligation to disclose lobbying activities only applies to interests’ representatives, it is recommended to France to </w:t>
      </w:r>
      <w:r>
        <w:rPr>
          <w:rFonts w:eastAsia="Times New Roman"/>
          <w:i/>
          <w:noProof/>
          <w:lang w:val="en-IE" w:eastAsia="en-GB"/>
        </w:rPr>
        <w:t>continue efforts to ensure the transparency of lobbying activities by extending the scope of the disclosure obligation, in particular to officials at top executive level.</w:t>
      </w:r>
    </w:p>
    <w:p w14:paraId="07155C3F" w14:textId="77777777" w:rsidR="0001306D" w:rsidRPr="00D16464" w:rsidRDefault="0001306D" w:rsidP="0001306D">
      <w:pPr>
        <w:pBdr>
          <w:top w:val="single" w:sz="4" w:space="1" w:color="auto"/>
          <w:left w:val="single" w:sz="4" w:space="4" w:color="auto"/>
          <w:bottom w:val="single" w:sz="4" w:space="31" w:color="auto"/>
          <w:right w:val="single" w:sz="4" w:space="4" w:color="auto"/>
        </w:pBdr>
        <w:spacing w:after="0"/>
        <w:rPr>
          <w:bCs/>
          <w:i/>
          <w:iCs/>
          <w:noProof/>
          <w:lang w:val="en-IE" w:eastAsia="en-GB"/>
        </w:rPr>
      </w:pPr>
    </w:p>
    <w:p w14:paraId="507F074C" w14:textId="77777777" w:rsidR="0001306D" w:rsidRDefault="0001306D" w:rsidP="00D0157A">
      <w:pPr>
        <w:pBdr>
          <w:top w:val="single" w:sz="4" w:space="1" w:color="auto"/>
          <w:left w:val="single" w:sz="4" w:space="4" w:color="auto"/>
          <w:bottom w:val="single" w:sz="4" w:space="31" w:color="auto"/>
          <w:right w:val="single" w:sz="4" w:space="4" w:color="auto"/>
        </w:pBdr>
        <w:spacing w:after="0"/>
        <w:rPr>
          <w:noProof/>
          <w:lang w:val="en-IE"/>
        </w:rPr>
      </w:pPr>
      <w:r>
        <w:rPr>
          <w:noProof/>
          <w:lang w:val="en-IE" w:eastAsia="en-GB"/>
        </w:rPr>
        <w:t>As regards the other 2025 recommendations, the Commission concludes that:</w:t>
      </w:r>
      <w:r>
        <w:rPr>
          <w:noProof/>
          <w:lang w:val="en-IE"/>
        </w:rPr>
        <w:t xml:space="preserve"> </w:t>
      </w:r>
    </w:p>
    <w:p w14:paraId="2C4909A7" w14:textId="4135ACB3" w:rsidR="00B94CEC" w:rsidRDefault="0001306D" w:rsidP="0001306D">
      <w:pPr>
        <w:pStyle w:val="ListParagraph"/>
        <w:numPr>
          <w:ilvl w:val="0"/>
          <w:numId w:val="35"/>
        </w:numPr>
        <w:pBdr>
          <w:top w:val="single" w:sz="4" w:space="1" w:color="auto"/>
          <w:left w:val="single" w:sz="4" w:space="4" w:color="auto"/>
          <w:bottom w:val="single" w:sz="4" w:space="31" w:color="auto"/>
          <w:right w:val="single" w:sz="4" w:space="4" w:color="auto"/>
        </w:pBdr>
        <w:spacing w:after="0"/>
        <w:contextualSpacing w:val="0"/>
        <w:rPr>
          <w:noProof/>
          <w:lang w:val="en-IE" w:eastAsia="en-GB"/>
        </w:rPr>
      </w:pPr>
      <w:r>
        <w:rPr>
          <w:rFonts w:eastAsia="Times New Roman"/>
          <w:noProof/>
          <w:lang w:val="en-IE" w:eastAsia="en-GB"/>
        </w:rPr>
        <w:t>Some further progress has been made to improve the transparency of media ownership, including through the development of a preliminary transparency database by the media regulator. Its full deployment remains dependent on the adoption of the necessary legislative measures. Given that the topics of this recommendation are covered by the provisions of the European Media Freedom Act (EMFA), while the Rule of Law Report will continue to monitor significant developments and report on their impact, further follow-up will be ensured as part of the Commission’s support to Member States and enforcement of the EMFA</w:t>
      </w:r>
      <w:r w:rsidR="00B94CEC">
        <w:rPr>
          <w:noProof/>
          <w:lang w:val="en-IE" w:eastAsia="en-GB"/>
        </w:rPr>
        <w:br w:type="page"/>
      </w:r>
    </w:p>
    <w:p w14:paraId="09042583" w14:textId="5DD6E23C" w:rsidR="00AD63B1" w:rsidRPr="00AD63B1" w:rsidRDefault="00AD63B1" w:rsidP="00613FAD">
      <w:pPr>
        <w:pStyle w:val="Heading1"/>
        <w:numPr>
          <w:ilvl w:val="0"/>
          <w:numId w:val="33"/>
        </w:numPr>
        <w:rPr>
          <w:noProof/>
          <w:u w:val="single"/>
          <w:lang w:val="en-IE"/>
        </w:rPr>
      </w:pPr>
      <w:r w:rsidRPr="00AD63B1">
        <w:rPr>
          <w:noProof/>
          <w:u w:val="single"/>
          <w:lang w:val="en-IE"/>
        </w:rPr>
        <w:t>Justice System</w:t>
      </w:r>
      <w:r w:rsidRPr="00AD63B1">
        <w:rPr>
          <w:b w:val="0"/>
          <w:noProof/>
          <w:u w:val="single"/>
          <w:vertAlign w:val="superscript"/>
        </w:rPr>
        <w:footnoteReference w:id="1"/>
      </w:r>
      <w:r w:rsidRPr="00AD63B1">
        <w:rPr>
          <w:b w:val="0"/>
          <w:noProof/>
          <w:u w:val="single"/>
          <w:lang w:val="en-IE"/>
        </w:rPr>
        <w:t xml:space="preserve"> </w:t>
      </w:r>
    </w:p>
    <w:p w14:paraId="7F1FBDE5" w14:textId="77777777" w:rsidR="00AD63B1" w:rsidRPr="005817FA" w:rsidRDefault="00AD63B1" w:rsidP="00AD63B1">
      <w:pPr>
        <w:pStyle w:val="Heading2"/>
        <w:numPr>
          <w:ilvl w:val="0"/>
          <w:numId w:val="0"/>
        </w:numPr>
        <w:rPr>
          <w:noProof/>
          <w:lang w:val="en-IE"/>
        </w:rPr>
      </w:pPr>
      <w:r w:rsidRPr="005817FA">
        <w:rPr>
          <w:noProof/>
          <w:lang w:val="en-IE"/>
        </w:rPr>
        <w:t xml:space="preserve">Independence </w:t>
      </w:r>
    </w:p>
    <w:p w14:paraId="7FC4F9F1" w14:textId="77777777" w:rsidR="00AD63B1" w:rsidRPr="00B1618D" w:rsidRDefault="00AD63B1" w:rsidP="00AD63B1">
      <w:pPr>
        <w:rPr>
          <w:noProof/>
          <w:szCs w:val="24"/>
        </w:rPr>
      </w:pPr>
      <w:r w:rsidRPr="00B1618D">
        <w:rPr>
          <w:b/>
          <w:bCs/>
          <w:noProof/>
          <w:szCs w:val="24"/>
        </w:rPr>
        <w:t xml:space="preserve">The level of perceived judicial independence in France continues to be average among both the general public </w:t>
      </w:r>
      <w:r w:rsidRPr="00B1618D">
        <w:rPr>
          <w:b/>
          <w:noProof/>
          <w:szCs w:val="24"/>
        </w:rPr>
        <w:t>and</w:t>
      </w:r>
      <w:r w:rsidRPr="00B1618D">
        <w:rPr>
          <w:b/>
          <w:bCs/>
          <w:noProof/>
          <w:szCs w:val="24"/>
        </w:rPr>
        <w:t xml:space="preserve"> companies</w:t>
      </w:r>
      <w:r w:rsidRPr="00B1618D">
        <w:rPr>
          <w:noProof/>
          <w:szCs w:val="24"/>
        </w:rPr>
        <w:t>. Overall, 56% of the general population and 53% of companies perceive the level of independence of courts and judges to be ‘fairly or very good’ in 2026</w:t>
      </w:r>
      <w:r w:rsidRPr="00B1618D">
        <w:rPr>
          <w:rStyle w:val="FootnoteReference"/>
          <w:noProof/>
          <w:szCs w:val="24"/>
        </w:rPr>
        <w:footnoteReference w:id="2"/>
      </w:r>
      <w:r w:rsidRPr="00B1618D">
        <w:rPr>
          <w:noProof/>
          <w:szCs w:val="24"/>
        </w:rPr>
        <w:t>. The perceived judicial independence among the general public has increased in comparison with 2025 (51%) and is at the same level as in 2022 (56%). The perceived judicial independence among companies remains at the same level as in 2025 (53%), and it has significantly decreased in comparison with 2022 (61%). </w:t>
      </w:r>
    </w:p>
    <w:p w14:paraId="42B58737" w14:textId="77777777" w:rsidR="00AD63B1" w:rsidRDefault="00AD63B1" w:rsidP="00AD63B1">
      <w:pPr>
        <w:rPr>
          <w:rFonts w:eastAsia="Calibri" w:cs="Arial"/>
          <w:bCs/>
          <w:noProof/>
          <w:szCs w:val="24"/>
          <w:lang w:val="en-IE"/>
        </w:rPr>
      </w:pPr>
      <w:r w:rsidRPr="48FACCB2">
        <w:rPr>
          <w:b/>
          <w:bCs/>
          <w:noProof/>
          <w:lang w:val="en-IE" w:eastAsia="fr-FR"/>
        </w:rPr>
        <w:t xml:space="preserve">The </w:t>
      </w:r>
      <w:r>
        <w:rPr>
          <w:rFonts w:eastAsia="Calibri" w:cs="Arial"/>
          <w:b/>
          <w:bCs/>
          <w:noProof/>
          <w:lang w:val="en-IE"/>
        </w:rPr>
        <w:t>implementation of the reform of</w:t>
      </w:r>
      <w:r w:rsidRPr="48FACCB2">
        <w:rPr>
          <w:rFonts w:eastAsia="Calibri" w:cs="Arial"/>
          <w:b/>
          <w:bCs/>
          <w:noProof/>
          <w:lang w:val="en-IE"/>
        </w:rPr>
        <w:t xml:space="preserve"> the status of magistrates </w:t>
      </w:r>
      <w:r>
        <w:rPr>
          <w:rFonts w:eastAsia="Calibri" w:cs="Arial"/>
          <w:b/>
          <w:bCs/>
          <w:noProof/>
          <w:lang w:val="en-IE"/>
        </w:rPr>
        <w:t>continued</w:t>
      </w:r>
      <w:r w:rsidRPr="48FACCB2">
        <w:rPr>
          <w:rFonts w:eastAsia="Calibri" w:cs="Arial"/>
          <w:b/>
          <w:bCs/>
          <w:noProof/>
          <w:lang w:val="en-IE"/>
        </w:rPr>
        <w:t xml:space="preserve"> </w:t>
      </w:r>
      <w:r>
        <w:rPr>
          <w:rFonts w:eastAsia="Calibri" w:cs="Arial"/>
          <w:b/>
          <w:bCs/>
          <w:noProof/>
        </w:rPr>
        <w:t xml:space="preserve">and there were renewed calls to further strengthen the autonomy </w:t>
      </w:r>
      <w:r w:rsidRPr="00824F87">
        <w:rPr>
          <w:rFonts w:eastAsia="Calibri" w:cs="Arial"/>
          <w:b/>
          <w:bCs/>
          <w:noProof/>
        </w:rPr>
        <w:t>of prosecutors.</w:t>
      </w:r>
      <w:r w:rsidRPr="007616C9">
        <w:rPr>
          <w:rFonts w:eastAsia="Calibri" w:cs="Arial"/>
          <w:b/>
          <w:bCs/>
          <w:noProof/>
        </w:rPr>
        <w:t> </w:t>
      </w:r>
      <w:r w:rsidRPr="00C774F7">
        <w:rPr>
          <w:rFonts w:eastAsia="Calibri" w:cs="Arial"/>
          <w:noProof/>
        </w:rPr>
        <w:t>Among the steps</w:t>
      </w:r>
      <w:r>
        <w:rPr>
          <w:noProof/>
          <w:color w:val="000000" w:themeColor="text1"/>
          <w:lang w:val="en-IE"/>
        </w:rPr>
        <w:t xml:space="preserve"> taken to implement this reform</w:t>
      </w:r>
      <w:r>
        <w:rPr>
          <w:rStyle w:val="FootnoteReference"/>
          <w:noProof/>
          <w:color w:val="000000" w:themeColor="text1"/>
          <w:lang w:val="en-IE"/>
        </w:rPr>
        <w:footnoteReference w:id="3"/>
      </w:r>
      <w:r>
        <w:rPr>
          <w:noProof/>
          <w:color w:val="000000" w:themeColor="text1"/>
          <w:lang w:val="en-IE"/>
        </w:rPr>
        <w:t>, t</w:t>
      </w:r>
      <w:r w:rsidRPr="3D43FBEF">
        <w:rPr>
          <w:noProof/>
          <w:color w:val="000000" w:themeColor="text1"/>
        </w:rPr>
        <w:t xml:space="preserve">he </w:t>
      </w:r>
      <w:r>
        <w:rPr>
          <w:noProof/>
          <w:color w:val="000000" w:themeColor="text1"/>
        </w:rPr>
        <w:t>High</w:t>
      </w:r>
      <w:r w:rsidRPr="3D43FBEF">
        <w:rPr>
          <w:noProof/>
          <w:color w:val="000000" w:themeColor="text1"/>
        </w:rPr>
        <w:t xml:space="preserve"> Council for the Judiciary</w:t>
      </w:r>
      <w:r>
        <w:rPr>
          <w:noProof/>
          <w:color w:val="000000" w:themeColor="text1"/>
        </w:rPr>
        <w:t xml:space="preserve"> </w:t>
      </w:r>
      <w:r w:rsidRPr="3D43FBEF">
        <w:rPr>
          <w:noProof/>
          <w:color w:val="000000" w:themeColor="text1"/>
        </w:rPr>
        <w:t>(</w:t>
      </w:r>
      <w:r>
        <w:rPr>
          <w:noProof/>
          <w:color w:val="000000" w:themeColor="text1"/>
        </w:rPr>
        <w:t>‘HCJ’</w:t>
      </w:r>
      <w:r w:rsidRPr="3D43FBEF">
        <w:rPr>
          <w:noProof/>
          <w:color w:val="000000" w:themeColor="text1"/>
        </w:rPr>
        <w:t xml:space="preserve">) </w:t>
      </w:r>
      <w:r>
        <w:rPr>
          <w:noProof/>
          <w:color w:val="000000" w:themeColor="text1"/>
        </w:rPr>
        <w:t>adopted in December</w:t>
      </w:r>
      <w:r w:rsidRPr="3D43FBEF">
        <w:rPr>
          <w:noProof/>
          <w:color w:val="000000" w:themeColor="text1"/>
        </w:rPr>
        <w:t xml:space="preserve"> the Ethics Charter for Magistrates of the Judiciary</w:t>
      </w:r>
      <w:r>
        <w:rPr>
          <w:noProof/>
          <w:color w:val="000000" w:themeColor="text1"/>
        </w:rPr>
        <w:t>, which was welcomed by the magistrates</w:t>
      </w:r>
      <w:r>
        <w:rPr>
          <w:rStyle w:val="FootnoteReference"/>
          <w:noProof/>
          <w:color w:val="000000" w:themeColor="text1"/>
        </w:rPr>
        <w:footnoteReference w:id="4"/>
      </w:r>
      <w:r>
        <w:rPr>
          <w:noProof/>
          <w:color w:val="000000" w:themeColor="text1"/>
        </w:rPr>
        <w:t xml:space="preserve">. Additionally, a new third grade was created in the magistracy to extend opportunities for magistrates to be promoted, either at management positions in courts, or in relation to their “exceptional professional value”. </w:t>
      </w:r>
      <w:r>
        <w:rPr>
          <w:noProof/>
          <w:color w:val="000000" w:themeColor="text1"/>
          <w:lang w:val="el-GR"/>
        </w:rPr>
        <w:t>Α</w:t>
      </w:r>
      <w:r>
        <w:rPr>
          <w:noProof/>
          <w:color w:val="000000" w:themeColor="text1"/>
        </w:rPr>
        <w:t>ssessment criteria still need to be defined by the newly established Promotion Committee</w:t>
      </w:r>
      <w:r>
        <w:rPr>
          <w:rStyle w:val="FootnoteReference"/>
          <w:noProof/>
          <w:color w:val="000000" w:themeColor="text1"/>
        </w:rPr>
        <w:footnoteReference w:id="5"/>
      </w:r>
      <w:r>
        <w:rPr>
          <w:noProof/>
          <w:color w:val="000000" w:themeColor="text1"/>
        </w:rPr>
        <w:t>, to ensure the transparency of this career advancement</w:t>
      </w:r>
      <w:r>
        <w:rPr>
          <w:rStyle w:val="FootnoteReference"/>
          <w:noProof/>
          <w:color w:val="000000" w:themeColor="text1"/>
        </w:rPr>
        <w:footnoteReference w:id="6"/>
      </w:r>
      <w:r>
        <w:rPr>
          <w:noProof/>
          <w:color w:val="000000" w:themeColor="text1"/>
        </w:rPr>
        <w:t xml:space="preserve">. The implementation of the </w:t>
      </w:r>
      <w:r w:rsidRPr="48FACCB2">
        <w:rPr>
          <w:rFonts w:eastAsia="Calibri" w:cs="Arial"/>
          <w:noProof/>
          <w:lang w:val="en-IE"/>
        </w:rPr>
        <w:t xml:space="preserve">360° evaluation process for presidents of courts and tribunals, also created by the </w:t>
      </w:r>
      <w:r>
        <w:rPr>
          <w:rFonts w:eastAsia="Calibri" w:cs="Arial"/>
          <w:noProof/>
          <w:lang w:val="en-IE"/>
        </w:rPr>
        <w:t xml:space="preserve">2023 </w:t>
      </w:r>
      <w:r w:rsidRPr="48FACCB2">
        <w:rPr>
          <w:rFonts w:eastAsia="Calibri" w:cs="Arial"/>
          <w:noProof/>
          <w:lang w:val="en-IE"/>
        </w:rPr>
        <w:t xml:space="preserve">law, remains a priority for the </w:t>
      </w:r>
      <w:r>
        <w:rPr>
          <w:rFonts w:eastAsia="Calibri" w:cs="Arial"/>
          <w:noProof/>
          <w:lang w:val="en-IE"/>
        </w:rPr>
        <w:t>HCJ</w:t>
      </w:r>
      <w:r w:rsidRPr="48FACCB2">
        <w:rPr>
          <w:rFonts w:eastAsia="Calibri" w:cs="Arial"/>
          <w:noProof/>
          <w:lang w:val="en-IE"/>
        </w:rPr>
        <w:t xml:space="preserve">. </w:t>
      </w:r>
      <w:r>
        <w:rPr>
          <w:rFonts w:eastAsia="Calibri" w:cs="Arial"/>
          <w:noProof/>
          <w:lang w:val="en-IE"/>
        </w:rPr>
        <w:t>Furthermore, the 2023 reform of the</w:t>
      </w:r>
      <w:r w:rsidRPr="48FACCB2">
        <w:rPr>
          <w:rFonts w:eastAsia="Calibri" w:cs="Arial"/>
          <w:noProof/>
          <w:lang w:val="en-IE"/>
        </w:rPr>
        <w:t xml:space="preserve"> voting </w:t>
      </w:r>
      <w:r>
        <w:rPr>
          <w:rFonts w:eastAsia="Calibri" w:cs="Arial"/>
          <w:noProof/>
          <w:lang w:val="en-IE"/>
        </w:rPr>
        <w:t>rules</w:t>
      </w:r>
      <w:r w:rsidRPr="48FACCB2">
        <w:rPr>
          <w:rFonts w:eastAsia="Calibri" w:cs="Arial"/>
          <w:noProof/>
          <w:lang w:val="en-IE"/>
        </w:rPr>
        <w:t xml:space="preserve"> for the elections to the </w:t>
      </w:r>
      <w:r>
        <w:rPr>
          <w:rFonts w:eastAsia="Calibri" w:cs="Arial"/>
          <w:noProof/>
          <w:lang w:val="en-IE"/>
        </w:rPr>
        <w:t>HCJ</w:t>
      </w:r>
      <w:r w:rsidRPr="48FACCB2">
        <w:rPr>
          <w:rFonts w:eastAsia="Calibri" w:cs="Arial"/>
          <w:noProof/>
          <w:lang w:val="en-IE"/>
        </w:rPr>
        <w:t xml:space="preserve"> will be implemented in 2026 through new regulations</w:t>
      </w:r>
      <w:r w:rsidRPr="48FACCB2">
        <w:rPr>
          <w:rStyle w:val="FootnoteReference"/>
          <w:rFonts w:eastAsia="Calibri" w:cs="Arial"/>
          <w:noProof/>
          <w:lang w:val="en-IE"/>
        </w:rPr>
        <w:footnoteReference w:id="7"/>
      </w:r>
      <w:r w:rsidRPr="48FACCB2">
        <w:rPr>
          <w:rFonts w:eastAsia="Calibri" w:cs="Arial"/>
          <w:noProof/>
          <w:lang w:val="en-IE"/>
        </w:rPr>
        <w:t>. Until now, the implementation of the reform of the magistrates’ disciplinary regime</w:t>
      </w:r>
      <w:r w:rsidRPr="48FACCB2">
        <w:rPr>
          <w:rStyle w:val="FootnoteReference"/>
          <w:rFonts w:eastAsia="Calibri" w:cs="Arial"/>
          <w:noProof/>
          <w:lang w:val="en-IE"/>
        </w:rPr>
        <w:footnoteReference w:id="8"/>
      </w:r>
      <w:r w:rsidRPr="48FACCB2">
        <w:rPr>
          <w:rFonts w:eastAsia="Calibri" w:cs="Arial"/>
          <w:noProof/>
          <w:lang w:val="en-IE"/>
        </w:rPr>
        <w:t xml:space="preserve"> has not</w:t>
      </w:r>
      <w:r>
        <w:rPr>
          <w:rFonts w:eastAsia="Calibri" w:cs="Arial"/>
          <w:noProof/>
          <w:lang w:val="en-IE"/>
        </w:rPr>
        <w:t xml:space="preserve"> led to an increase of cases submitted by litigants against magistrates</w:t>
      </w:r>
      <w:r w:rsidRPr="48FACCB2">
        <w:rPr>
          <w:rStyle w:val="FootnoteReference"/>
          <w:rFonts w:eastAsia="Calibri" w:cs="Arial"/>
          <w:noProof/>
          <w:lang w:val="en-IE"/>
        </w:rPr>
        <w:footnoteReference w:id="9"/>
      </w:r>
      <w:r w:rsidRPr="48FACCB2">
        <w:rPr>
          <w:rFonts w:eastAsia="Calibri" w:cs="Arial"/>
          <w:noProof/>
          <w:lang w:val="en-IE"/>
        </w:rPr>
        <w:t xml:space="preserve">. On 13 January 2026, the President of the National Assembly has called to relaunch the discussions on the reform of the statute of prosecutors, to make the </w:t>
      </w:r>
      <w:r>
        <w:rPr>
          <w:rFonts w:eastAsia="Calibri" w:cs="Arial"/>
          <w:noProof/>
          <w:lang w:val="en-IE"/>
        </w:rPr>
        <w:t>HCJ</w:t>
      </w:r>
      <w:r w:rsidRPr="48FACCB2">
        <w:rPr>
          <w:rFonts w:eastAsia="Calibri" w:cs="Arial"/>
          <w:noProof/>
          <w:lang w:val="en-IE"/>
        </w:rPr>
        <w:t>’s opinion mandatory on the Minister of Justice when nominating prosecutors, as is the case for judges</w:t>
      </w:r>
      <w:r w:rsidRPr="48FACCB2">
        <w:rPr>
          <w:rStyle w:val="FootnoteReference"/>
          <w:rFonts w:eastAsia="Calibri" w:cs="Arial"/>
          <w:noProof/>
          <w:lang w:val="en-IE"/>
        </w:rPr>
        <w:footnoteReference w:id="10"/>
      </w:r>
      <w:r w:rsidRPr="48FACCB2">
        <w:rPr>
          <w:rFonts w:eastAsia="Calibri" w:cs="Arial"/>
          <w:noProof/>
          <w:lang w:val="en-IE"/>
        </w:rPr>
        <w:t xml:space="preserve">. </w:t>
      </w:r>
      <w:r>
        <w:rPr>
          <w:rFonts w:eastAsia="Calibri" w:cs="Arial"/>
          <w:noProof/>
          <w:lang w:val="en-IE"/>
        </w:rPr>
        <w:t>The HCJ supported this initiative and further called for establishing an independent disciplinary authority for prosecutors</w:t>
      </w:r>
      <w:r>
        <w:rPr>
          <w:rStyle w:val="FootnoteReference"/>
          <w:rFonts w:eastAsia="Calibri" w:cs="Arial"/>
          <w:noProof/>
          <w:lang w:val="en-IE"/>
        </w:rPr>
        <w:footnoteReference w:id="11"/>
      </w:r>
      <w:r>
        <w:rPr>
          <w:rFonts w:eastAsia="Calibri" w:cs="Arial"/>
          <w:noProof/>
          <w:lang w:val="en-IE"/>
        </w:rPr>
        <w:t>.</w:t>
      </w:r>
    </w:p>
    <w:p w14:paraId="49111BC7" w14:textId="207C1EE1" w:rsidR="00AD63B1" w:rsidRDefault="00AD63B1" w:rsidP="00AD63B1">
      <w:pPr>
        <w:rPr>
          <w:rFonts w:eastAsia="Calibri" w:cs="Arial"/>
          <w:noProof/>
          <w:lang w:val="en-IE"/>
        </w:rPr>
      </w:pPr>
      <w:r>
        <w:rPr>
          <w:b/>
          <w:bCs/>
          <w:noProof/>
          <w:lang w:val="en-IE" w:eastAsia="fr-FR"/>
        </w:rPr>
        <w:t>The High Council for the Judiciary continued defending judicial independence in response to an increasing number of attacks on magistrates related to judicial decisions.</w:t>
      </w:r>
      <w:r w:rsidRPr="48FACCB2">
        <w:rPr>
          <w:noProof/>
          <w:lang w:eastAsia="fr-FR"/>
        </w:rPr>
        <w:t xml:space="preserve"> </w:t>
      </w:r>
      <w:r>
        <w:rPr>
          <w:noProof/>
          <w:lang w:eastAsia="fr-FR"/>
        </w:rPr>
        <w:t>Several judgments</w:t>
      </w:r>
      <w:r w:rsidRPr="5599A967">
        <w:rPr>
          <w:noProof/>
          <w:lang w:eastAsia="fr-FR"/>
        </w:rPr>
        <w:t xml:space="preserve"> relating to candidates to national elections</w:t>
      </w:r>
      <w:r>
        <w:rPr>
          <w:noProof/>
          <w:lang w:eastAsia="fr-FR"/>
        </w:rPr>
        <w:t xml:space="preserve"> or previous </w:t>
      </w:r>
      <w:r w:rsidRPr="00D36A6C">
        <w:rPr>
          <w:noProof/>
          <w:lang w:eastAsia="fr-FR"/>
        </w:rPr>
        <w:t>officials at top-executive level</w:t>
      </w:r>
      <w:r w:rsidRPr="5599A967">
        <w:rPr>
          <w:noProof/>
          <w:lang w:eastAsia="fr-FR"/>
        </w:rPr>
        <w:t xml:space="preserve"> have been faced with strong criticism from the public and some elected officials. In some cases, judges have been facing personal attacks, including</w:t>
      </w:r>
      <w:r w:rsidRPr="5599A967">
        <w:rPr>
          <w:noProof/>
          <w:lang w:val="en-IE" w:eastAsia="fr-FR"/>
        </w:rPr>
        <w:t xml:space="preserve"> serious threats to their safety</w:t>
      </w:r>
      <w:r>
        <w:rPr>
          <w:noProof/>
          <w:lang w:val="en-IE" w:eastAsia="fr-FR"/>
        </w:rPr>
        <w:t>. They benefit increasingly from police protection while several cases were transmitted to prosecutors. The HCJ, magistrates’ associations,the National Consultative Committee on Human Rights (CNCDH) and the President of the Cassation Court have brought these incidents to the attention of public authorities, as these attacks would in their view jeopardise the perception by citizens of the independence of the justice system</w:t>
      </w:r>
      <w:r>
        <w:rPr>
          <w:rStyle w:val="FootnoteReference"/>
          <w:noProof/>
          <w:lang w:val="en-IE" w:eastAsia="fr-FR"/>
        </w:rPr>
        <w:footnoteReference w:id="12"/>
      </w:r>
      <w:r>
        <w:rPr>
          <w:noProof/>
          <w:lang w:val="en-IE" w:eastAsia="fr-FR"/>
        </w:rPr>
        <w:t xml:space="preserve">. In this context, lawyers have set up </w:t>
      </w:r>
      <w:r w:rsidRPr="00EC1C18">
        <w:rPr>
          <w:noProof/>
          <w:lang w:val="en-IE" w:eastAsia="fr-FR"/>
        </w:rPr>
        <w:t>the Rule of Law Observatory</w:t>
      </w:r>
      <w:r>
        <w:rPr>
          <w:noProof/>
          <w:lang w:val="en-IE" w:eastAsia="fr-FR"/>
        </w:rPr>
        <w:t xml:space="preserve">, an initiative to support public debates </w:t>
      </w:r>
      <w:r w:rsidDel="0002344C">
        <w:rPr>
          <w:noProof/>
          <w:lang w:val="en-IE" w:eastAsia="fr-FR"/>
        </w:rPr>
        <w:t xml:space="preserve">with </w:t>
      </w:r>
      <w:r>
        <w:rPr>
          <w:noProof/>
          <w:lang w:val="en-IE" w:eastAsia="fr-FR"/>
        </w:rPr>
        <w:t>thorough analyses of potential infringements of the rule of law</w:t>
      </w:r>
      <w:r>
        <w:rPr>
          <w:rStyle w:val="FootnoteReference"/>
          <w:noProof/>
          <w:lang w:val="en-IE" w:eastAsia="fr-FR"/>
        </w:rPr>
        <w:footnoteReference w:id="13"/>
      </w:r>
      <w:r>
        <w:rPr>
          <w:noProof/>
          <w:lang w:val="en-IE" w:eastAsia="fr-FR"/>
        </w:rPr>
        <w:t>.</w:t>
      </w:r>
    </w:p>
    <w:p w14:paraId="3063701E" w14:textId="77777777" w:rsidR="00AD63B1" w:rsidRPr="005817FA" w:rsidRDefault="00AD63B1" w:rsidP="00AD63B1">
      <w:pPr>
        <w:pStyle w:val="Heading2"/>
        <w:numPr>
          <w:ilvl w:val="0"/>
          <w:numId w:val="0"/>
        </w:numPr>
        <w:rPr>
          <w:noProof/>
          <w:lang w:val="en-IE"/>
        </w:rPr>
      </w:pPr>
      <w:r w:rsidRPr="005817FA">
        <w:rPr>
          <w:noProof/>
          <w:lang w:val="en-IE"/>
        </w:rPr>
        <w:t xml:space="preserve">Quality </w:t>
      </w:r>
    </w:p>
    <w:p w14:paraId="71D10C08" w14:textId="77777777" w:rsidR="00AD63B1" w:rsidRPr="00121A0C" w:rsidRDefault="00AD63B1" w:rsidP="00AD63B1">
      <w:pPr>
        <w:rPr>
          <w:bCs/>
          <w:noProof/>
          <w:szCs w:val="24"/>
          <w:lang w:val="en-IE" w:eastAsia="fr-FR"/>
        </w:rPr>
      </w:pPr>
      <w:r w:rsidRPr="48FACCB2">
        <w:rPr>
          <w:b/>
          <w:bCs/>
          <w:noProof/>
          <w:lang w:val="en-IE" w:eastAsia="fr-FR"/>
        </w:rPr>
        <w:t xml:space="preserve">Budgetary efforts </w:t>
      </w:r>
      <w:r>
        <w:rPr>
          <w:b/>
          <w:bCs/>
          <w:noProof/>
          <w:lang w:val="en-IE" w:eastAsia="fr-FR"/>
        </w:rPr>
        <w:t>have been</w:t>
      </w:r>
      <w:r w:rsidRPr="48FACCB2">
        <w:rPr>
          <w:b/>
          <w:bCs/>
          <w:noProof/>
          <w:lang w:val="en-IE" w:eastAsia="fr-FR"/>
        </w:rPr>
        <w:t xml:space="preserve"> sustained in 2025 and 2026 to increase further the number of magistrates, in line with the law on the orientation and programming of justice 2023-2027. </w:t>
      </w:r>
      <w:r w:rsidRPr="48FACCB2">
        <w:rPr>
          <w:noProof/>
          <w:lang w:val="en-IE" w:eastAsia="fr-FR"/>
        </w:rPr>
        <w:t>Despite budgetary constraints, the objective to recruit 1</w:t>
      </w:r>
      <w:r>
        <w:rPr>
          <w:noProof/>
          <w:lang w:val="en-IE" w:eastAsia="fr-FR"/>
        </w:rPr>
        <w:t> </w:t>
      </w:r>
      <w:r w:rsidRPr="48FACCB2">
        <w:rPr>
          <w:noProof/>
          <w:lang w:val="en-IE" w:eastAsia="fr-FR"/>
        </w:rPr>
        <w:t>500 magistrates and 1</w:t>
      </w:r>
      <w:r>
        <w:rPr>
          <w:noProof/>
          <w:lang w:val="en-IE" w:eastAsia="fr-FR"/>
        </w:rPr>
        <w:t> </w:t>
      </w:r>
      <w:r w:rsidRPr="48FACCB2">
        <w:rPr>
          <w:noProof/>
          <w:lang w:val="en-IE" w:eastAsia="fr-FR"/>
        </w:rPr>
        <w:t>800 clerks by 2027 will be kept</w:t>
      </w:r>
      <w:r>
        <w:rPr>
          <w:rStyle w:val="FootnoteReference"/>
          <w:noProof/>
          <w:lang w:val="en-IE" w:eastAsia="fr-FR"/>
        </w:rPr>
        <w:footnoteReference w:id="14"/>
      </w:r>
      <w:r w:rsidRPr="48FACCB2">
        <w:rPr>
          <w:noProof/>
          <w:lang w:val="en-IE" w:eastAsia="fr-FR"/>
        </w:rPr>
        <w:t>.</w:t>
      </w:r>
      <w:r w:rsidRPr="48FACCB2">
        <w:rPr>
          <w:b/>
          <w:bCs/>
          <w:noProof/>
          <w:lang w:val="en-IE" w:eastAsia="fr-FR"/>
        </w:rPr>
        <w:t xml:space="preserve"> </w:t>
      </w:r>
      <w:r w:rsidRPr="48FACCB2">
        <w:rPr>
          <w:noProof/>
          <w:lang w:val="en-IE" w:eastAsia="fr-FR"/>
        </w:rPr>
        <w:t>Salaries of magistrates have also increased as planned</w:t>
      </w:r>
      <w:r w:rsidRPr="48FACCB2">
        <w:rPr>
          <w:rStyle w:val="FootnoteReference"/>
          <w:noProof/>
          <w:lang w:val="en-IE" w:eastAsia="fr-FR"/>
        </w:rPr>
        <w:footnoteReference w:id="15"/>
      </w:r>
      <w:r w:rsidRPr="48FACCB2">
        <w:rPr>
          <w:noProof/>
          <w:lang w:val="en-IE" w:eastAsia="fr-FR"/>
        </w:rPr>
        <w:t xml:space="preserve">. In order to recruit more magistrates, the number of candidates accepted at the National School of Magistracy has </w:t>
      </w:r>
      <w:r>
        <w:rPr>
          <w:noProof/>
          <w:lang w:val="en-IE" w:eastAsia="fr-FR"/>
        </w:rPr>
        <w:t>increased fourfold</w:t>
      </w:r>
      <w:r w:rsidRPr="48FACCB2">
        <w:rPr>
          <w:noProof/>
          <w:lang w:val="en-IE" w:eastAsia="fr-FR"/>
        </w:rPr>
        <w:t xml:space="preserve"> since 2010</w:t>
      </w:r>
      <w:r w:rsidRPr="48FACCB2">
        <w:rPr>
          <w:rStyle w:val="FootnoteReference"/>
          <w:noProof/>
          <w:lang w:val="en-IE" w:eastAsia="fr-FR"/>
        </w:rPr>
        <w:footnoteReference w:id="16"/>
      </w:r>
      <w:r w:rsidRPr="48FACCB2">
        <w:rPr>
          <w:noProof/>
          <w:lang w:val="en-IE" w:eastAsia="fr-FR"/>
        </w:rPr>
        <w:t xml:space="preserve">. </w:t>
      </w:r>
      <w:r>
        <w:rPr>
          <w:noProof/>
          <w:lang w:val="en-IE" w:eastAsia="fr-FR"/>
        </w:rPr>
        <w:t>While the</w:t>
      </w:r>
      <w:r w:rsidRPr="48FACCB2">
        <w:rPr>
          <w:noProof/>
          <w:lang w:eastAsia="fr-FR"/>
        </w:rPr>
        <w:t xml:space="preserve"> number of magistrates has</w:t>
      </w:r>
      <w:r>
        <w:rPr>
          <w:noProof/>
          <w:lang w:eastAsia="fr-FR"/>
        </w:rPr>
        <w:t xml:space="preserve"> thus</w:t>
      </w:r>
      <w:r w:rsidRPr="48FACCB2">
        <w:rPr>
          <w:noProof/>
          <w:lang w:eastAsia="fr-FR"/>
        </w:rPr>
        <w:t xml:space="preserve"> </w:t>
      </w:r>
      <w:r>
        <w:rPr>
          <w:noProof/>
          <w:lang w:eastAsia="fr-FR"/>
        </w:rPr>
        <w:t xml:space="preserve">slightly </w:t>
      </w:r>
      <w:r w:rsidRPr="48FACCB2">
        <w:rPr>
          <w:noProof/>
          <w:lang w:eastAsia="fr-FR"/>
        </w:rPr>
        <w:t>increased between 2023 and 2024</w:t>
      </w:r>
      <w:r>
        <w:rPr>
          <w:noProof/>
          <w:lang w:eastAsia="fr-FR"/>
        </w:rPr>
        <w:t>, it remains comparatively</w:t>
      </w:r>
      <w:r w:rsidRPr="48FACCB2">
        <w:rPr>
          <w:noProof/>
          <w:lang w:eastAsia="fr-FR"/>
        </w:rPr>
        <w:t xml:space="preserve"> low</w:t>
      </w:r>
      <w:r>
        <w:rPr>
          <w:noProof/>
          <w:lang w:eastAsia="fr-FR"/>
        </w:rPr>
        <w:t xml:space="preserve">, </w:t>
      </w:r>
      <w:r w:rsidRPr="48FACCB2">
        <w:rPr>
          <w:noProof/>
          <w:lang w:eastAsia="fr-FR"/>
        </w:rPr>
        <w:t>in particular in overseas territories</w:t>
      </w:r>
      <w:r w:rsidRPr="48FACCB2">
        <w:rPr>
          <w:rStyle w:val="FootnoteReference"/>
          <w:noProof/>
          <w:lang w:eastAsia="fr-FR"/>
        </w:rPr>
        <w:footnoteReference w:id="17"/>
      </w:r>
      <w:r>
        <w:rPr>
          <w:noProof/>
          <w:lang w:eastAsia="fr-FR"/>
        </w:rPr>
        <w:t>.</w:t>
      </w:r>
      <w:r w:rsidRPr="48FACCB2">
        <w:rPr>
          <w:noProof/>
          <w:lang w:eastAsia="fr-FR"/>
        </w:rPr>
        <w:t xml:space="preserve"> </w:t>
      </w:r>
      <w:r>
        <w:rPr>
          <w:noProof/>
          <w:lang w:eastAsia="fr-FR"/>
        </w:rPr>
        <w:t>The O</w:t>
      </w:r>
      <w:r w:rsidRPr="48FACCB2">
        <w:rPr>
          <w:noProof/>
          <w:lang w:eastAsia="fr-FR"/>
        </w:rPr>
        <w:t xml:space="preserve">bservatory of the </w:t>
      </w:r>
      <w:r>
        <w:rPr>
          <w:noProof/>
          <w:lang w:eastAsia="fr-FR"/>
        </w:rPr>
        <w:t xml:space="preserve">magistrates’ </w:t>
      </w:r>
      <w:r w:rsidRPr="48FACCB2">
        <w:rPr>
          <w:noProof/>
          <w:lang w:eastAsia="fr-FR"/>
        </w:rPr>
        <w:t xml:space="preserve">workload </w:t>
      </w:r>
      <w:r>
        <w:rPr>
          <w:noProof/>
          <w:lang w:eastAsia="fr-FR"/>
        </w:rPr>
        <w:t>met</w:t>
      </w:r>
      <w:r w:rsidRPr="48FACCB2">
        <w:rPr>
          <w:noProof/>
          <w:lang w:eastAsia="fr-FR"/>
        </w:rPr>
        <w:t xml:space="preserve"> in 2025</w:t>
      </w:r>
      <w:r>
        <w:rPr>
          <w:noProof/>
          <w:lang w:eastAsia="fr-FR"/>
        </w:rPr>
        <w:t xml:space="preserve"> and twice in 2026</w:t>
      </w:r>
      <w:r w:rsidRPr="48FACCB2">
        <w:rPr>
          <w:noProof/>
          <w:lang w:eastAsia="fr-FR"/>
        </w:rPr>
        <w:t xml:space="preserve"> to present the results of a study</w:t>
      </w:r>
      <w:r w:rsidRPr="48FACCB2">
        <w:rPr>
          <w:rStyle w:val="FootnoteReference"/>
          <w:noProof/>
          <w:lang w:eastAsia="fr-FR"/>
        </w:rPr>
        <w:footnoteReference w:id="18"/>
      </w:r>
      <w:r>
        <w:rPr>
          <w:noProof/>
          <w:lang w:eastAsia="fr-FR"/>
        </w:rPr>
        <w:t xml:space="preserve"> and discuss the integration of updated benchmarks in the existing case weighting system</w:t>
      </w:r>
      <w:r w:rsidRPr="48FACCB2">
        <w:rPr>
          <w:noProof/>
          <w:lang w:eastAsia="fr-FR"/>
        </w:rPr>
        <w:t>, which was however criticised by the magistrates’ associations as limited in scope</w:t>
      </w:r>
      <w:r w:rsidRPr="48FACCB2">
        <w:rPr>
          <w:rStyle w:val="FootnoteReference"/>
          <w:noProof/>
          <w:lang w:eastAsia="fr-FR"/>
        </w:rPr>
        <w:footnoteReference w:id="19"/>
      </w:r>
      <w:r>
        <w:rPr>
          <w:noProof/>
          <w:lang w:eastAsia="fr-FR"/>
        </w:rPr>
        <w:t xml:space="preserve">. </w:t>
      </w:r>
    </w:p>
    <w:p w14:paraId="7BC786A3" w14:textId="451DB402" w:rsidR="00AD63B1" w:rsidRPr="00934BA1" w:rsidRDefault="00AD63B1" w:rsidP="00AD63B1">
      <w:pPr>
        <w:rPr>
          <w:noProof/>
        </w:rPr>
      </w:pPr>
      <w:r w:rsidRPr="48FACCB2">
        <w:rPr>
          <w:b/>
          <w:bCs/>
          <w:noProof/>
          <w:lang w:val="en-IE" w:eastAsia="fr-FR"/>
        </w:rPr>
        <w:t xml:space="preserve">Some further progress </w:t>
      </w:r>
      <w:r>
        <w:rPr>
          <w:b/>
          <w:bCs/>
          <w:noProof/>
          <w:lang w:val="en-IE" w:eastAsia="fr-FR"/>
        </w:rPr>
        <w:t>has been</w:t>
      </w:r>
      <w:r w:rsidRPr="48FACCB2">
        <w:rPr>
          <w:b/>
          <w:bCs/>
          <w:noProof/>
          <w:lang w:val="en-IE" w:eastAsia="fr-FR"/>
        </w:rPr>
        <w:t xml:space="preserve"> made on the digitalisation of judicial procedures</w:t>
      </w:r>
      <w:r>
        <w:rPr>
          <w:rStyle w:val="FootnoteReference"/>
          <w:b/>
          <w:bCs/>
          <w:noProof/>
          <w:lang w:val="en-IE" w:eastAsia="fr-FR"/>
        </w:rPr>
        <w:footnoteReference w:id="20"/>
      </w:r>
      <w:r w:rsidRPr="48FACCB2">
        <w:rPr>
          <w:b/>
          <w:bCs/>
          <w:noProof/>
          <w:lang w:val="en-IE" w:eastAsia="fr-FR"/>
        </w:rPr>
        <w:t xml:space="preserve">. </w:t>
      </w:r>
      <w:r w:rsidRPr="35A71448">
        <w:rPr>
          <w:noProof/>
          <w:lang w:val="en-IE" w:eastAsia="fr-FR"/>
        </w:rPr>
        <w:t>The digitalis</w:t>
      </w:r>
      <w:r>
        <w:rPr>
          <w:noProof/>
          <w:lang w:val="en-IE" w:eastAsia="fr-FR"/>
        </w:rPr>
        <w:t>ation of the criminal</w:t>
      </w:r>
      <w:r w:rsidRPr="35A71448">
        <w:rPr>
          <w:noProof/>
          <w:lang w:val="en-IE" w:eastAsia="fr-FR"/>
        </w:rPr>
        <w:t xml:space="preserve"> procedure</w:t>
      </w:r>
      <w:r>
        <w:rPr>
          <w:noProof/>
          <w:lang w:val="en-IE" w:eastAsia="fr-FR"/>
        </w:rPr>
        <w:t>s</w:t>
      </w:r>
      <w:r w:rsidRPr="35A71448">
        <w:rPr>
          <w:noProof/>
          <w:lang w:val="en-IE" w:eastAsia="fr-FR"/>
        </w:rPr>
        <w:t xml:space="preserve"> continue</w:t>
      </w:r>
      <w:r>
        <w:rPr>
          <w:noProof/>
          <w:lang w:val="en-IE" w:eastAsia="fr-FR"/>
        </w:rPr>
        <w:t>d</w:t>
      </w:r>
      <w:r w:rsidRPr="35A71448">
        <w:rPr>
          <w:noProof/>
          <w:lang w:val="en-IE" w:eastAsia="fr-FR"/>
        </w:rPr>
        <w:t xml:space="preserve">. </w:t>
      </w:r>
      <w:r>
        <w:rPr>
          <w:noProof/>
          <w:lang w:val="en-IE" w:eastAsia="fr-FR"/>
        </w:rPr>
        <w:t xml:space="preserve">For felonies and misdemeanours, the digital procedure was fully implemented. </w:t>
      </w:r>
      <w:r w:rsidRPr="35A71448">
        <w:rPr>
          <w:noProof/>
          <w:lang w:val="en-IE" w:eastAsia="fr-FR"/>
        </w:rPr>
        <w:t xml:space="preserve">Since 2025, </w:t>
      </w:r>
      <w:r>
        <w:rPr>
          <w:noProof/>
          <w:lang w:val="en-IE" w:eastAsia="fr-FR"/>
        </w:rPr>
        <w:t xml:space="preserve">regarding other categories of crimes, </w:t>
      </w:r>
      <w:r w:rsidRPr="35A71448">
        <w:rPr>
          <w:noProof/>
          <w:lang w:val="en-IE" w:eastAsia="fr-FR"/>
        </w:rPr>
        <w:t xml:space="preserve">criminal courts have opened at least one digital </w:t>
      </w:r>
      <w:r>
        <w:rPr>
          <w:noProof/>
          <w:lang w:val="en-IE" w:eastAsia="fr-FR"/>
        </w:rPr>
        <w:t>procedure</w:t>
      </w:r>
      <w:r w:rsidRPr="35A71448">
        <w:rPr>
          <w:noProof/>
          <w:lang w:val="en-IE" w:eastAsia="fr-FR"/>
        </w:rPr>
        <w:t xml:space="preserve"> (</w:t>
      </w:r>
      <w:r>
        <w:rPr>
          <w:noProof/>
          <w:lang w:val="en-IE" w:eastAsia="fr-FR"/>
        </w:rPr>
        <w:t xml:space="preserve">e.g. for </w:t>
      </w:r>
      <w:r w:rsidRPr="35A71448">
        <w:rPr>
          <w:noProof/>
          <w:lang w:val="en-IE" w:eastAsia="fr-FR"/>
        </w:rPr>
        <w:t xml:space="preserve">convocation by </w:t>
      </w:r>
      <w:r>
        <w:rPr>
          <w:noProof/>
          <w:lang w:val="en-IE" w:eastAsia="fr-FR"/>
        </w:rPr>
        <w:t xml:space="preserve">the </w:t>
      </w:r>
      <w:r w:rsidRPr="35A71448">
        <w:rPr>
          <w:noProof/>
          <w:lang w:val="en-IE" w:eastAsia="fr-FR"/>
        </w:rPr>
        <w:t>police, criminal order</w:t>
      </w:r>
      <w:r>
        <w:rPr>
          <w:noProof/>
          <w:lang w:val="en-IE" w:eastAsia="fr-FR"/>
        </w:rPr>
        <w:t>s</w:t>
      </w:r>
      <w:r w:rsidRPr="35A71448">
        <w:rPr>
          <w:noProof/>
          <w:lang w:val="en-IE" w:eastAsia="fr-FR"/>
        </w:rPr>
        <w:t>) and court of appeals can create digital documents for all procedures.</w:t>
      </w:r>
      <w:r>
        <w:rPr>
          <w:noProof/>
          <w:lang w:val="en-IE" w:eastAsia="fr-FR"/>
        </w:rPr>
        <w:t xml:space="preserve"> </w:t>
      </w:r>
      <w:r w:rsidRPr="00493C34">
        <w:rPr>
          <w:noProof/>
          <w:lang w:val="en-IE" w:eastAsia="fr-FR"/>
        </w:rPr>
        <w:t xml:space="preserve">On the digitalisation of civil proceedings, the deployment of the civil electronic </w:t>
      </w:r>
      <w:r>
        <w:rPr>
          <w:noProof/>
          <w:lang w:val="en-IE" w:eastAsia="fr-FR"/>
        </w:rPr>
        <w:t xml:space="preserve">reporting </w:t>
      </w:r>
      <w:r w:rsidRPr="00493C34">
        <w:rPr>
          <w:noProof/>
          <w:lang w:val="en-IE" w:eastAsia="fr-FR"/>
        </w:rPr>
        <w:t>continued in 2025.</w:t>
      </w:r>
      <w:r>
        <w:rPr>
          <w:noProof/>
          <w:lang w:val="en-IE" w:eastAsia="fr-FR"/>
        </w:rPr>
        <w:t xml:space="preserve"> The digital management of documents is being tested until </w:t>
      </w:r>
      <w:r w:rsidR="00E51AFD">
        <w:rPr>
          <w:noProof/>
          <w:lang w:val="en-IE" w:eastAsia="fr-FR"/>
        </w:rPr>
        <w:t xml:space="preserve">the end of </w:t>
      </w:r>
      <w:r>
        <w:rPr>
          <w:noProof/>
          <w:lang w:val="en-IE" w:eastAsia="fr-FR"/>
        </w:rPr>
        <w:t>2026, with a view to a possible roll out</w:t>
      </w:r>
      <w:r w:rsidR="00E51AFD">
        <w:rPr>
          <w:noProof/>
          <w:lang w:val="en-IE" w:eastAsia="fr-FR"/>
        </w:rPr>
        <w:t xml:space="preserve"> in 2027</w:t>
      </w:r>
      <w:r>
        <w:rPr>
          <w:noProof/>
          <w:lang w:val="en-IE" w:eastAsia="fr-FR"/>
        </w:rPr>
        <w:t>. The Portalis tool, which concerns the digitalisation of civil judicial proceedings, was deployed in 2025 in all labour courts. It is now rolled out in proximity courts</w:t>
      </w:r>
      <w:r>
        <w:rPr>
          <w:rStyle w:val="FootnoteReference"/>
          <w:noProof/>
          <w:lang w:val="en-IE" w:eastAsia="fr-FR"/>
        </w:rPr>
        <w:footnoteReference w:id="21"/>
      </w:r>
      <w:r>
        <w:rPr>
          <w:noProof/>
          <w:lang w:val="en-IE" w:eastAsia="fr-FR"/>
        </w:rPr>
        <w:t xml:space="preserve"> (46%) followed by all civil courts. According to the European Association of Judges (EAJ), m</w:t>
      </w:r>
      <w:r w:rsidRPr="00381B3B">
        <w:rPr>
          <w:noProof/>
          <w:lang w:val="en-IE" w:eastAsia="fr-FR"/>
        </w:rPr>
        <w:t>any technical difficulties remain</w:t>
      </w:r>
      <w:r>
        <w:rPr>
          <w:rStyle w:val="FootnoteReference"/>
          <w:noProof/>
          <w:lang w:val="en-IE" w:eastAsia="fr-FR"/>
        </w:rPr>
        <w:footnoteReference w:id="22"/>
      </w:r>
      <w:r>
        <w:rPr>
          <w:noProof/>
          <w:lang w:val="en-IE" w:eastAsia="fr-FR"/>
        </w:rPr>
        <w:t>.</w:t>
      </w:r>
      <w:r w:rsidRPr="00381B3B">
        <w:rPr>
          <w:noProof/>
          <w:lang w:val="en-IE" w:eastAsia="fr-FR"/>
        </w:rPr>
        <w:t xml:space="preserve"> </w:t>
      </w:r>
      <w:r>
        <w:rPr>
          <w:noProof/>
          <w:lang w:val="en-IE" w:eastAsia="fr-FR"/>
        </w:rPr>
        <w:t xml:space="preserve">The litigant’s portal, which allows citizens to launch certain procedures online, was further developed. By the end of 2026, for example, citizens will </w:t>
      </w:r>
      <w:r w:rsidRPr="003452D9">
        <w:rPr>
          <w:noProof/>
          <w:lang w:val="en-IE" w:eastAsia="fr-FR"/>
        </w:rPr>
        <w:t xml:space="preserve">be able to file a digital request for </w:t>
      </w:r>
      <w:r w:rsidR="00A62D13">
        <w:rPr>
          <w:noProof/>
          <w:lang w:val="en-IE" w:eastAsia="fr-FR"/>
        </w:rPr>
        <w:t>almost all</w:t>
      </w:r>
      <w:r w:rsidR="00A62D13" w:rsidRPr="003452D9">
        <w:rPr>
          <w:noProof/>
          <w:lang w:val="en-IE" w:eastAsia="fr-FR"/>
        </w:rPr>
        <w:t xml:space="preserve"> </w:t>
      </w:r>
      <w:r w:rsidRPr="003452D9">
        <w:rPr>
          <w:noProof/>
          <w:lang w:val="en-IE" w:eastAsia="fr-FR"/>
        </w:rPr>
        <w:t>civil litigation</w:t>
      </w:r>
      <w:r w:rsidR="00E92FB5">
        <w:rPr>
          <w:noProof/>
          <w:lang w:val="en-IE" w:eastAsia="fr-FR"/>
        </w:rPr>
        <w:t>, with no requirement for a legal representation</w:t>
      </w:r>
      <w:r>
        <w:rPr>
          <w:noProof/>
          <w:lang w:val="en-IE" w:eastAsia="fr-FR"/>
        </w:rPr>
        <w:t xml:space="preserve">. </w:t>
      </w:r>
      <w:r>
        <w:rPr>
          <w:noProof/>
          <w:lang w:eastAsia="fr-FR"/>
        </w:rPr>
        <w:t xml:space="preserve">A new portal on legal aid is being developed, which will allow </w:t>
      </w:r>
      <w:r w:rsidR="00C06CE0" w:rsidRPr="00C06CE0">
        <w:rPr>
          <w:noProof/>
          <w:lang w:eastAsia="fr-FR"/>
        </w:rPr>
        <w:t>attorneys to both view pending legal aid applications for their clients and submit such applications with their clients’ consent</w:t>
      </w:r>
      <w:r>
        <w:rPr>
          <w:noProof/>
          <w:lang w:eastAsia="fr-FR"/>
        </w:rPr>
        <w:t xml:space="preserve">. </w:t>
      </w:r>
      <w:r w:rsidRPr="00B01573">
        <w:rPr>
          <w:noProof/>
          <w:lang w:eastAsia="fr-FR"/>
        </w:rPr>
        <w:t>In</w:t>
      </w:r>
      <w:r>
        <w:rPr>
          <w:noProof/>
          <w:lang w:eastAsia="fr-FR"/>
        </w:rPr>
        <w:t xml:space="preserve"> </w:t>
      </w:r>
      <w:r w:rsidRPr="00B01573">
        <w:rPr>
          <w:noProof/>
          <w:lang w:eastAsia="fr-FR"/>
        </w:rPr>
        <w:t>2025, the website</w:t>
      </w:r>
      <w:r>
        <w:rPr>
          <w:noProof/>
          <w:lang w:eastAsia="fr-FR"/>
        </w:rPr>
        <w:t xml:space="preserve"> of the ministry</w:t>
      </w:r>
      <w:r w:rsidRPr="00B01573">
        <w:rPr>
          <w:noProof/>
          <w:lang w:eastAsia="fr-FR"/>
        </w:rPr>
        <w:t xml:space="preserve"> </w:t>
      </w:r>
      <w:r>
        <w:rPr>
          <w:noProof/>
          <w:lang w:eastAsia="fr-FR"/>
        </w:rPr>
        <w:t>was</w:t>
      </w:r>
      <w:r w:rsidRPr="00B01573">
        <w:rPr>
          <w:noProof/>
          <w:lang w:eastAsia="fr-FR"/>
        </w:rPr>
        <w:t xml:space="preserve"> enriched with a portal for victims, to guide them in their</w:t>
      </w:r>
      <w:r>
        <w:rPr>
          <w:noProof/>
          <w:lang w:eastAsia="fr-FR"/>
        </w:rPr>
        <w:t xml:space="preserve"> judicial steps</w:t>
      </w:r>
      <w:r w:rsidRPr="00B01573">
        <w:rPr>
          <w:noProof/>
          <w:lang w:eastAsia="fr-FR"/>
        </w:rPr>
        <w:t>.</w:t>
      </w:r>
      <w:r>
        <w:rPr>
          <w:noProof/>
          <w:lang w:eastAsia="fr-FR"/>
        </w:rPr>
        <w:t xml:space="preserve"> </w:t>
      </w:r>
      <w:r w:rsidRPr="002963C7">
        <w:rPr>
          <w:noProof/>
          <w:lang w:eastAsia="fr-FR"/>
        </w:rPr>
        <w:t xml:space="preserve">The </w:t>
      </w:r>
      <w:r>
        <w:rPr>
          <w:noProof/>
          <w:lang w:eastAsia="fr-FR"/>
        </w:rPr>
        <w:t>possibility to sign documents</w:t>
      </w:r>
      <w:r w:rsidRPr="002963C7">
        <w:rPr>
          <w:noProof/>
          <w:lang w:eastAsia="fr-FR"/>
        </w:rPr>
        <w:t xml:space="preserve"> electronic</w:t>
      </w:r>
      <w:r>
        <w:rPr>
          <w:noProof/>
          <w:lang w:eastAsia="fr-FR"/>
        </w:rPr>
        <w:t>ally</w:t>
      </w:r>
      <w:r w:rsidRPr="002963C7">
        <w:rPr>
          <w:noProof/>
          <w:lang w:eastAsia="fr-FR"/>
        </w:rPr>
        <w:t xml:space="preserve"> </w:t>
      </w:r>
      <w:r>
        <w:rPr>
          <w:noProof/>
          <w:lang w:eastAsia="fr-FR"/>
        </w:rPr>
        <w:t>was further developed</w:t>
      </w:r>
      <w:r w:rsidRPr="002963C7">
        <w:rPr>
          <w:noProof/>
          <w:lang w:eastAsia="fr-FR"/>
        </w:rPr>
        <w:t xml:space="preserve"> in 2025</w:t>
      </w:r>
      <w:r>
        <w:rPr>
          <w:rStyle w:val="FootnoteReference"/>
          <w:noProof/>
          <w:lang w:eastAsia="fr-FR"/>
        </w:rPr>
        <w:footnoteReference w:id="23"/>
      </w:r>
      <w:r>
        <w:rPr>
          <w:noProof/>
          <w:lang w:eastAsia="fr-FR"/>
        </w:rPr>
        <w:t>. Decisions of civil and criminal courts were published through open data in September 2025 while this process was postponed for other courts until the end of 2028</w:t>
      </w:r>
      <w:r>
        <w:rPr>
          <w:rStyle w:val="FootnoteReference"/>
          <w:noProof/>
          <w:lang w:eastAsia="fr-FR"/>
        </w:rPr>
        <w:footnoteReference w:id="24"/>
      </w:r>
      <w:r>
        <w:rPr>
          <w:noProof/>
          <w:lang w:eastAsia="fr-FR"/>
        </w:rPr>
        <w:t>.</w:t>
      </w:r>
      <w:r w:rsidRPr="00436630">
        <w:rPr>
          <w:noProof/>
        </w:rPr>
        <w:t xml:space="preserve"> </w:t>
      </w:r>
      <w:r>
        <w:rPr>
          <w:noProof/>
        </w:rPr>
        <w:t>France is supported by the Technical Support Instrument to facilitate and accelerate the processing of mass litigation</w:t>
      </w:r>
      <w:r>
        <w:rPr>
          <w:rStyle w:val="FootnoteReference"/>
          <w:noProof/>
        </w:rPr>
        <w:footnoteReference w:id="25"/>
      </w:r>
      <w:r>
        <w:rPr>
          <w:noProof/>
        </w:rPr>
        <w:t>. Further efforts are needed to enhance the use of digital technology in courts and to improve electronic communication between the courts, prosecutors and other judicial actors</w:t>
      </w:r>
      <w:r>
        <w:rPr>
          <w:rStyle w:val="FootnoteReference"/>
          <w:noProof/>
        </w:rPr>
        <w:footnoteReference w:id="26"/>
      </w:r>
      <w:r>
        <w:rPr>
          <w:noProof/>
        </w:rPr>
        <w:t xml:space="preserve">. </w:t>
      </w:r>
      <w:r>
        <w:rPr>
          <w:noProof/>
          <w:lang w:eastAsia="fr-FR"/>
        </w:rPr>
        <w:t>Taking into account the positive developments regarding the criminal and civil procedures, some further progress was made on the recommendation.</w:t>
      </w:r>
    </w:p>
    <w:p w14:paraId="3085259C" w14:textId="42B98DB0" w:rsidR="00AD63B1" w:rsidRPr="004D7929" w:rsidRDefault="00AD63B1" w:rsidP="00AD63B1">
      <w:pPr>
        <w:rPr>
          <w:bCs/>
          <w:noProof/>
          <w:lang w:val="en-IE" w:eastAsia="fr-FR"/>
        </w:rPr>
      </w:pPr>
      <w:r>
        <w:rPr>
          <w:b/>
          <w:bCs/>
          <w:noProof/>
          <w:lang w:val="en-IE" w:eastAsia="fr-FR"/>
        </w:rPr>
        <w:t>Small c</w:t>
      </w:r>
      <w:r w:rsidRPr="48FACCB2">
        <w:rPr>
          <w:b/>
          <w:bCs/>
          <w:noProof/>
          <w:lang w:val="en-IE" w:eastAsia="fr-FR"/>
        </w:rPr>
        <w:t>ourt fees for access to courts</w:t>
      </w:r>
      <w:r>
        <w:rPr>
          <w:b/>
          <w:bCs/>
          <w:noProof/>
          <w:lang w:val="en-IE" w:eastAsia="fr-FR"/>
        </w:rPr>
        <w:t xml:space="preserve"> were</w:t>
      </w:r>
      <w:r w:rsidRPr="48FACCB2">
        <w:rPr>
          <w:b/>
          <w:bCs/>
          <w:noProof/>
          <w:lang w:val="en-IE" w:eastAsia="fr-FR"/>
        </w:rPr>
        <w:t xml:space="preserve"> reintroduced </w:t>
      </w:r>
      <w:r>
        <w:rPr>
          <w:b/>
          <w:bCs/>
          <w:noProof/>
          <w:lang w:val="en-IE" w:eastAsia="fr-FR"/>
        </w:rPr>
        <w:t>and</w:t>
      </w:r>
      <w:r w:rsidRPr="48FACCB2">
        <w:rPr>
          <w:b/>
          <w:bCs/>
          <w:noProof/>
          <w:lang w:val="en-IE" w:eastAsia="fr-FR"/>
        </w:rPr>
        <w:t xml:space="preserve"> alternative dispute resolutions methods are increasingly encouraged. </w:t>
      </w:r>
      <w:r w:rsidRPr="48FACCB2">
        <w:rPr>
          <w:noProof/>
          <w:lang w:val="en-IE" w:eastAsia="fr-FR"/>
        </w:rPr>
        <w:t xml:space="preserve">Court fees of EUR 50 have been introduced for </w:t>
      </w:r>
      <w:r w:rsidR="00D20639">
        <w:rPr>
          <w:noProof/>
          <w:lang w:val="en-IE" w:eastAsia="fr-FR"/>
        </w:rPr>
        <w:t>some</w:t>
      </w:r>
      <w:r w:rsidR="00D20639" w:rsidRPr="48FACCB2">
        <w:rPr>
          <w:noProof/>
          <w:lang w:val="en-IE" w:eastAsia="fr-FR"/>
        </w:rPr>
        <w:t xml:space="preserve"> </w:t>
      </w:r>
      <w:r>
        <w:rPr>
          <w:noProof/>
          <w:lang w:val="en-IE" w:eastAsia="fr-FR"/>
        </w:rPr>
        <w:t>civil</w:t>
      </w:r>
      <w:r w:rsidR="00D20639">
        <w:rPr>
          <w:noProof/>
          <w:lang w:val="en-IE" w:eastAsia="fr-FR"/>
        </w:rPr>
        <w:t xml:space="preserve"> </w:t>
      </w:r>
      <w:r w:rsidRPr="48FACCB2">
        <w:rPr>
          <w:noProof/>
          <w:lang w:val="en-IE" w:eastAsia="fr-FR"/>
        </w:rPr>
        <w:t>and labour courts through the 2026 Finance Act</w:t>
      </w:r>
      <w:r w:rsidRPr="48FACCB2">
        <w:rPr>
          <w:rStyle w:val="FootnoteReference"/>
          <w:noProof/>
          <w:lang w:val="en-IE" w:eastAsia="fr-FR"/>
        </w:rPr>
        <w:footnoteReference w:id="27"/>
      </w:r>
      <w:r w:rsidRPr="48FACCB2">
        <w:rPr>
          <w:noProof/>
          <w:lang w:val="en-IE" w:eastAsia="fr-FR"/>
        </w:rPr>
        <w:t xml:space="preserve">. This does not apply to beneficiaries </w:t>
      </w:r>
      <w:r>
        <w:rPr>
          <w:noProof/>
          <w:lang w:val="en-IE" w:eastAsia="fr-FR"/>
        </w:rPr>
        <w:t xml:space="preserve">of </w:t>
      </w:r>
      <w:r w:rsidRPr="48FACCB2">
        <w:rPr>
          <w:noProof/>
          <w:lang w:val="en-IE" w:eastAsia="fr-FR"/>
        </w:rPr>
        <w:t xml:space="preserve">legal aid. </w:t>
      </w:r>
      <w:r w:rsidR="00FC7AE3">
        <w:rPr>
          <w:noProof/>
          <w:lang w:val="en-IE" w:eastAsia="fr-FR"/>
        </w:rPr>
        <w:t>In addition</w:t>
      </w:r>
      <w:r w:rsidR="00CF7D12">
        <w:rPr>
          <w:noProof/>
          <w:lang w:val="en-IE" w:eastAsia="fr-FR"/>
        </w:rPr>
        <w:t>, on a trial basis</w:t>
      </w:r>
      <w:r>
        <w:rPr>
          <w:noProof/>
          <w:lang w:val="en-IE" w:eastAsia="fr-FR"/>
        </w:rPr>
        <w:t xml:space="preserve"> from 2025 to 2028,</w:t>
      </w:r>
      <w:r w:rsidRPr="48FACCB2">
        <w:rPr>
          <w:noProof/>
          <w:lang w:val="en-IE" w:eastAsia="fr-FR"/>
        </w:rPr>
        <w:t xml:space="preserve"> </w:t>
      </w:r>
      <w:r w:rsidR="00303378">
        <w:rPr>
          <w:noProof/>
          <w:lang w:val="en-IE" w:eastAsia="fr-FR"/>
        </w:rPr>
        <w:t>another tax is due</w:t>
      </w:r>
      <w:r w:rsidR="00F20BF6">
        <w:rPr>
          <w:noProof/>
          <w:lang w:val="en-IE" w:eastAsia="fr-FR"/>
        </w:rPr>
        <w:t xml:space="preserve"> in proceedings</w:t>
      </w:r>
      <w:r w:rsidR="00120148">
        <w:rPr>
          <w:noProof/>
          <w:lang w:val="en-IE" w:eastAsia="fr-FR"/>
        </w:rPr>
        <w:t xml:space="preserve"> before</w:t>
      </w:r>
      <w:r w:rsidRPr="48FACCB2">
        <w:rPr>
          <w:noProof/>
          <w:lang w:val="en-IE" w:eastAsia="fr-FR"/>
        </w:rPr>
        <w:t xml:space="preserve"> the economic affairs courts</w:t>
      </w:r>
      <w:r w:rsidRPr="48FACCB2">
        <w:rPr>
          <w:rStyle w:val="FootnoteReference"/>
          <w:noProof/>
          <w:lang w:val="en-IE" w:eastAsia="fr-FR"/>
        </w:rPr>
        <w:footnoteReference w:id="28"/>
      </w:r>
      <w:r w:rsidRPr="48FACCB2">
        <w:rPr>
          <w:noProof/>
          <w:lang w:val="en-IE" w:eastAsia="fr-FR"/>
        </w:rPr>
        <w:t>, which also provides for a contribution of up to 5% of the requested amount, within the limit of EUR 100</w:t>
      </w:r>
      <w:r>
        <w:rPr>
          <w:noProof/>
          <w:lang w:val="en-IE" w:eastAsia="fr-FR"/>
        </w:rPr>
        <w:t> </w:t>
      </w:r>
      <w:r w:rsidRPr="48FACCB2">
        <w:rPr>
          <w:noProof/>
          <w:lang w:val="en-IE" w:eastAsia="fr-FR"/>
        </w:rPr>
        <w:t xml:space="preserve">000. Both these contributions were declared constitutional by the Constitutional Council, with some interpretation </w:t>
      </w:r>
      <w:r>
        <w:rPr>
          <w:noProof/>
          <w:lang w:val="en-IE" w:eastAsia="fr-FR"/>
        </w:rPr>
        <w:t>guidelines</w:t>
      </w:r>
      <w:r w:rsidRPr="48FACCB2">
        <w:rPr>
          <w:rStyle w:val="FootnoteReference"/>
          <w:noProof/>
          <w:lang w:val="en-IE" w:eastAsia="fr-FR"/>
        </w:rPr>
        <w:footnoteReference w:id="29"/>
      </w:r>
      <w:r w:rsidRPr="48FACCB2">
        <w:rPr>
          <w:noProof/>
          <w:lang w:val="en-IE" w:eastAsia="fr-FR"/>
        </w:rPr>
        <w:t>.</w:t>
      </w:r>
      <w:r>
        <w:rPr>
          <w:bCs/>
          <w:noProof/>
          <w:lang w:val="en-IE" w:eastAsia="fr-FR"/>
        </w:rPr>
        <w:t xml:space="preserve"> </w:t>
      </w:r>
      <w:r>
        <w:rPr>
          <w:noProof/>
          <w:lang w:eastAsia="fr-FR"/>
        </w:rPr>
        <w:t>New legislation was adopted</w:t>
      </w:r>
      <w:r w:rsidRPr="48FACCB2">
        <w:rPr>
          <w:noProof/>
          <w:lang w:eastAsia="fr-FR"/>
        </w:rPr>
        <w:t xml:space="preserve"> to clarify and better structure the rules relating to amicable settlement of disputes, to facilitate their use by practitioners</w:t>
      </w:r>
      <w:r w:rsidRPr="48FACCB2">
        <w:rPr>
          <w:rStyle w:val="FootnoteReference"/>
          <w:noProof/>
          <w:lang w:eastAsia="fr-FR"/>
        </w:rPr>
        <w:footnoteReference w:id="30"/>
      </w:r>
      <w:r w:rsidRPr="48FACCB2">
        <w:rPr>
          <w:noProof/>
          <w:lang w:eastAsia="fr-FR"/>
        </w:rPr>
        <w:t xml:space="preserve">. The ‘amicable settlement hearing’, a conciliation procedure by the judge, </w:t>
      </w:r>
      <w:r>
        <w:rPr>
          <w:noProof/>
          <w:lang w:eastAsia="fr-FR"/>
        </w:rPr>
        <w:t>was</w:t>
      </w:r>
      <w:r w:rsidRPr="48FACCB2">
        <w:rPr>
          <w:noProof/>
          <w:lang w:eastAsia="fr-FR"/>
        </w:rPr>
        <w:t xml:space="preserve"> extended to all courts, with the exception of the labour courts. </w:t>
      </w:r>
      <w:r w:rsidRPr="48FACCB2">
        <w:rPr>
          <w:noProof/>
        </w:rPr>
        <w:t xml:space="preserve">The recourse to amicable settlement is now mandatory in certain cases, e.g. </w:t>
      </w:r>
      <w:r w:rsidR="00331334" w:rsidRPr="00331334">
        <w:rPr>
          <w:noProof/>
        </w:rPr>
        <w:t xml:space="preserve">for claims brought before a judicial court when the amount </w:t>
      </w:r>
      <w:r w:rsidR="00B65EB4">
        <w:rPr>
          <w:noProof/>
        </w:rPr>
        <w:t>of the</w:t>
      </w:r>
      <w:r w:rsidR="00331334" w:rsidRPr="00331334">
        <w:rPr>
          <w:noProof/>
        </w:rPr>
        <w:t xml:space="preserve"> dispute is less than </w:t>
      </w:r>
      <w:r w:rsidR="00B65EB4">
        <w:rPr>
          <w:noProof/>
        </w:rPr>
        <w:t xml:space="preserve">EUR </w:t>
      </w:r>
      <w:r w:rsidR="00331334" w:rsidRPr="00331334">
        <w:rPr>
          <w:noProof/>
        </w:rPr>
        <w:t>5</w:t>
      </w:r>
      <w:r w:rsidR="00B65EB4">
        <w:rPr>
          <w:noProof/>
        </w:rPr>
        <w:t xml:space="preserve"> </w:t>
      </w:r>
      <w:r w:rsidR="00331334" w:rsidRPr="00331334">
        <w:rPr>
          <w:noProof/>
        </w:rPr>
        <w:t xml:space="preserve">000 or when the claim </w:t>
      </w:r>
      <w:r w:rsidR="003D6EF6">
        <w:rPr>
          <w:noProof/>
        </w:rPr>
        <w:t>is related to</w:t>
      </w:r>
      <w:r w:rsidR="00331334" w:rsidRPr="00331334">
        <w:rPr>
          <w:noProof/>
        </w:rPr>
        <w:t xml:space="preserve"> a </w:t>
      </w:r>
      <w:r w:rsidRPr="48FACCB2">
        <w:rPr>
          <w:noProof/>
        </w:rPr>
        <w:t>neighbour</w:t>
      </w:r>
      <w:r w:rsidR="00203098">
        <w:rPr>
          <w:noProof/>
        </w:rPr>
        <w:t>hood</w:t>
      </w:r>
      <w:r>
        <w:rPr>
          <w:noProof/>
        </w:rPr>
        <w:t xml:space="preserve"> dispute</w:t>
      </w:r>
      <w:r w:rsidRPr="48FACCB2">
        <w:rPr>
          <w:noProof/>
        </w:rPr>
        <w:t>.</w:t>
      </w:r>
      <w:r w:rsidRPr="48FACCB2">
        <w:rPr>
          <w:noProof/>
          <w:lang w:eastAsia="fr-FR"/>
        </w:rPr>
        <w:t xml:space="preserve"> </w:t>
      </w:r>
      <w:r>
        <w:rPr>
          <w:noProof/>
          <w:lang w:eastAsia="fr-FR"/>
        </w:rPr>
        <w:t>In general, this reform was welcomed, including by the HCJ, as long as it does not jeopardise the right to effective legal protection nor gives a comparative advantage to big companies to the detriment of SMEs</w:t>
      </w:r>
      <w:r w:rsidRPr="48FACCB2">
        <w:rPr>
          <w:rStyle w:val="FootnoteReference"/>
          <w:noProof/>
          <w:lang w:eastAsia="fr-FR"/>
        </w:rPr>
        <w:footnoteReference w:id="31"/>
      </w:r>
      <w:r w:rsidRPr="48FACCB2">
        <w:rPr>
          <w:noProof/>
          <w:lang w:eastAsia="fr-FR"/>
        </w:rPr>
        <w:t>.</w:t>
      </w:r>
    </w:p>
    <w:p w14:paraId="7F009807" w14:textId="77777777" w:rsidR="00AD63B1" w:rsidRPr="00CA30AF" w:rsidRDefault="00AD63B1" w:rsidP="00AD63B1">
      <w:pPr>
        <w:pStyle w:val="Heading2"/>
        <w:numPr>
          <w:ilvl w:val="0"/>
          <w:numId w:val="0"/>
        </w:numPr>
        <w:rPr>
          <w:noProof/>
          <w:lang w:val="en-US"/>
        </w:rPr>
      </w:pPr>
      <w:r w:rsidRPr="00CA30AF">
        <w:rPr>
          <w:noProof/>
          <w:lang w:val="en-US"/>
        </w:rPr>
        <w:t>Efficiency</w:t>
      </w:r>
    </w:p>
    <w:p w14:paraId="54D533E3" w14:textId="303A1118" w:rsidR="00AD63B1" w:rsidRPr="007F57D1" w:rsidRDefault="00AD63B1" w:rsidP="00AD63B1">
      <w:pPr>
        <w:rPr>
          <w:bCs/>
          <w:noProof/>
          <w:lang w:val="en-IE" w:eastAsia="fr-FR"/>
        </w:rPr>
      </w:pPr>
      <w:bookmarkStart w:id="2" w:name="_Hlk225520496"/>
      <w:r w:rsidRPr="0022730D">
        <w:rPr>
          <w:b/>
          <w:noProof/>
          <w:lang w:val="en-IE" w:eastAsia="fr-FR"/>
        </w:rPr>
        <w:t>Reforms are being</w:t>
      </w:r>
      <w:r>
        <w:rPr>
          <w:b/>
          <w:noProof/>
          <w:lang w:val="en-IE" w:eastAsia="fr-FR"/>
        </w:rPr>
        <w:t xml:space="preserve"> </w:t>
      </w:r>
      <w:r w:rsidRPr="0022730D">
        <w:rPr>
          <w:b/>
          <w:noProof/>
          <w:lang w:val="en-IE" w:eastAsia="fr-FR"/>
        </w:rPr>
        <w:t>considered</w:t>
      </w:r>
      <w:r>
        <w:rPr>
          <w:b/>
          <w:noProof/>
          <w:lang w:val="en-IE" w:eastAsia="fr-FR"/>
        </w:rPr>
        <w:t xml:space="preserve"> </w:t>
      </w:r>
      <w:r w:rsidRPr="0022730D">
        <w:rPr>
          <w:b/>
          <w:noProof/>
          <w:lang w:val="en-IE" w:eastAsia="fr-FR"/>
        </w:rPr>
        <w:t>to improve the efficiency of the justice system,</w:t>
      </w:r>
      <w:r>
        <w:rPr>
          <w:b/>
          <w:noProof/>
          <w:lang w:val="en-IE" w:eastAsia="fr-FR"/>
        </w:rPr>
        <w:t xml:space="preserve"> </w:t>
      </w:r>
      <w:r w:rsidRPr="0022730D">
        <w:rPr>
          <w:b/>
          <w:noProof/>
          <w:lang w:val="en-IE" w:eastAsia="fr-FR"/>
        </w:rPr>
        <w:t>particular</w:t>
      </w:r>
      <w:r>
        <w:rPr>
          <w:b/>
          <w:noProof/>
          <w:lang w:val="en-IE" w:eastAsia="fr-FR"/>
        </w:rPr>
        <w:t xml:space="preserve">ly </w:t>
      </w:r>
      <w:r w:rsidRPr="0022730D">
        <w:rPr>
          <w:b/>
          <w:noProof/>
          <w:lang w:val="en-IE" w:eastAsia="fr-FR"/>
        </w:rPr>
        <w:t>through</w:t>
      </w:r>
      <w:r>
        <w:rPr>
          <w:b/>
          <w:noProof/>
          <w:lang w:val="en-IE" w:eastAsia="fr-FR"/>
        </w:rPr>
        <w:t xml:space="preserve"> </w:t>
      </w:r>
      <w:r w:rsidRPr="0022730D">
        <w:rPr>
          <w:b/>
          <w:noProof/>
          <w:lang w:val="en-IE" w:eastAsia="fr-FR"/>
        </w:rPr>
        <w:t>the streamlining of</w:t>
      </w:r>
      <w:r>
        <w:rPr>
          <w:b/>
          <w:noProof/>
          <w:lang w:val="en-IE" w:eastAsia="fr-FR"/>
        </w:rPr>
        <w:t xml:space="preserve"> </w:t>
      </w:r>
      <w:r w:rsidRPr="0022730D">
        <w:rPr>
          <w:b/>
          <w:noProof/>
          <w:lang w:val="en-IE" w:eastAsia="fr-FR"/>
        </w:rPr>
        <w:t>appeal and criminal</w:t>
      </w:r>
      <w:r>
        <w:rPr>
          <w:b/>
          <w:noProof/>
          <w:lang w:val="en-IE" w:eastAsia="fr-FR"/>
        </w:rPr>
        <w:t xml:space="preserve"> </w:t>
      </w:r>
      <w:r w:rsidRPr="0022730D">
        <w:rPr>
          <w:b/>
          <w:noProof/>
          <w:lang w:val="en-IE" w:eastAsia="fr-FR"/>
        </w:rPr>
        <w:t xml:space="preserve">procedures. </w:t>
      </w:r>
      <w:bookmarkEnd w:id="2"/>
      <w:r w:rsidRPr="00AF0FF2">
        <w:rPr>
          <w:bCs/>
          <w:noProof/>
          <w:lang w:val="en-IE" w:eastAsia="fr-FR"/>
        </w:rPr>
        <w:t xml:space="preserve">The estimated time needed to resolve litigious civil and commercial cases at first instance </w:t>
      </w:r>
      <w:r>
        <w:rPr>
          <w:bCs/>
          <w:noProof/>
          <w:lang w:val="en-IE" w:eastAsia="fr-FR"/>
        </w:rPr>
        <w:t>increased to 434 days in 2024 (</w:t>
      </w:r>
      <w:r w:rsidR="00E37CE7">
        <w:rPr>
          <w:bCs/>
          <w:noProof/>
          <w:lang w:val="en-IE" w:eastAsia="fr-FR"/>
        </w:rPr>
        <w:t xml:space="preserve">430 </w:t>
      </w:r>
      <w:r>
        <w:rPr>
          <w:bCs/>
          <w:noProof/>
          <w:lang w:val="en-IE" w:eastAsia="fr-FR"/>
        </w:rPr>
        <w:t>days in 2023)</w:t>
      </w:r>
      <w:r w:rsidR="00885C72">
        <w:rPr>
          <w:rStyle w:val="FootnoteReference"/>
          <w:bCs/>
          <w:noProof/>
          <w:lang w:val="en-IE" w:eastAsia="fr-FR"/>
        </w:rPr>
        <w:footnoteReference w:id="32"/>
      </w:r>
      <w:r>
        <w:rPr>
          <w:bCs/>
          <w:noProof/>
          <w:lang w:val="en-IE" w:eastAsia="fr-FR"/>
        </w:rPr>
        <w:t xml:space="preserve"> while the clearance rate remained stable around 95%</w:t>
      </w:r>
      <w:r>
        <w:rPr>
          <w:rStyle w:val="FootnoteReference"/>
          <w:bCs/>
          <w:noProof/>
          <w:lang w:val="en-IE" w:eastAsia="fr-FR"/>
        </w:rPr>
        <w:footnoteReference w:id="33"/>
      </w:r>
      <w:r>
        <w:rPr>
          <w:bCs/>
          <w:noProof/>
          <w:lang w:val="en-IE" w:eastAsia="fr-FR"/>
        </w:rPr>
        <w:t xml:space="preserve">. </w:t>
      </w:r>
      <w:r w:rsidRPr="007F57D1">
        <w:rPr>
          <w:bCs/>
          <w:noProof/>
          <w:lang w:val="en-IE" w:eastAsia="fr-FR"/>
        </w:rPr>
        <w:t>The</w:t>
      </w:r>
      <w:r>
        <w:rPr>
          <w:bCs/>
          <w:noProof/>
          <w:lang w:val="en-IE" w:eastAsia="fr-FR"/>
        </w:rPr>
        <w:t xml:space="preserve"> draft</w:t>
      </w:r>
      <w:r w:rsidRPr="007F57D1">
        <w:rPr>
          <w:bCs/>
          <w:noProof/>
          <w:lang w:val="en-IE" w:eastAsia="fr-FR"/>
        </w:rPr>
        <w:t xml:space="preserve"> Decree</w:t>
      </w:r>
      <w:r>
        <w:rPr>
          <w:bCs/>
          <w:noProof/>
          <w:lang w:val="en-IE" w:eastAsia="fr-FR"/>
        </w:rPr>
        <w:t xml:space="preserve"> ‘</w:t>
      </w:r>
      <w:r w:rsidRPr="007F57D1">
        <w:rPr>
          <w:bCs/>
          <w:noProof/>
          <w:lang w:val="en-IE" w:eastAsia="fr-FR"/>
        </w:rPr>
        <w:t>Rivage</w:t>
      </w:r>
      <w:r>
        <w:rPr>
          <w:bCs/>
          <w:noProof/>
          <w:lang w:val="en-IE" w:eastAsia="fr-FR"/>
        </w:rPr>
        <w:t>’</w:t>
      </w:r>
      <w:r>
        <w:rPr>
          <w:rStyle w:val="FootnoteReference"/>
          <w:bCs/>
          <w:noProof/>
          <w:lang w:val="en-IE" w:eastAsia="fr-FR"/>
        </w:rPr>
        <w:footnoteReference w:id="34"/>
      </w:r>
      <w:r w:rsidRPr="007F57D1">
        <w:rPr>
          <w:bCs/>
          <w:noProof/>
          <w:lang w:val="en-IE" w:eastAsia="fr-FR"/>
        </w:rPr>
        <w:t xml:space="preserve"> is part of a series of reforms aimed at modernising and rationalising the functioning of justice.</w:t>
      </w:r>
      <w:r>
        <w:rPr>
          <w:bCs/>
          <w:noProof/>
          <w:lang w:val="en-IE" w:eastAsia="fr-FR"/>
        </w:rPr>
        <w:t xml:space="preserve"> It proposes that the</w:t>
      </w:r>
      <w:r w:rsidRPr="004D27DF">
        <w:rPr>
          <w:bCs/>
          <w:noProof/>
          <w:lang w:val="en-IE" w:eastAsia="fr-FR"/>
        </w:rPr>
        <w:t xml:space="preserve"> threshold </w:t>
      </w:r>
      <w:r>
        <w:rPr>
          <w:bCs/>
          <w:noProof/>
          <w:lang w:val="en-IE" w:eastAsia="fr-FR"/>
        </w:rPr>
        <w:t>for</w:t>
      </w:r>
      <w:r w:rsidRPr="004D27DF">
        <w:rPr>
          <w:bCs/>
          <w:noProof/>
          <w:lang w:val="en-IE" w:eastAsia="fr-FR"/>
        </w:rPr>
        <w:t xml:space="preserve"> last resort</w:t>
      </w:r>
      <w:r>
        <w:rPr>
          <w:bCs/>
          <w:noProof/>
          <w:lang w:val="en-IE" w:eastAsia="fr-FR"/>
        </w:rPr>
        <w:t xml:space="preserve"> claims increases</w:t>
      </w:r>
      <w:r w:rsidRPr="004D27DF">
        <w:rPr>
          <w:bCs/>
          <w:noProof/>
          <w:lang w:val="en-IE" w:eastAsia="fr-FR"/>
        </w:rPr>
        <w:t xml:space="preserve"> from </w:t>
      </w:r>
      <w:r>
        <w:rPr>
          <w:bCs/>
          <w:noProof/>
          <w:lang w:val="en-IE" w:eastAsia="fr-FR"/>
        </w:rPr>
        <w:t>EUR 5 </w:t>
      </w:r>
      <w:r w:rsidRPr="004D27DF">
        <w:rPr>
          <w:bCs/>
          <w:noProof/>
          <w:lang w:val="en-IE" w:eastAsia="fr-FR"/>
        </w:rPr>
        <w:t xml:space="preserve">000 to </w:t>
      </w:r>
      <w:r>
        <w:rPr>
          <w:bCs/>
          <w:noProof/>
          <w:lang w:val="en-IE" w:eastAsia="fr-FR"/>
        </w:rPr>
        <w:t>EUR 10 000</w:t>
      </w:r>
      <w:r w:rsidRPr="004D27DF">
        <w:rPr>
          <w:bCs/>
          <w:noProof/>
          <w:lang w:val="en-IE" w:eastAsia="fr-FR"/>
        </w:rPr>
        <w:t xml:space="preserve"> in most courts (</w:t>
      </w:r>
      <w:r>
        <w:rPr>
          <w:bCs/>
          <w:noProof/>
          <w:lang w:val="en-IE" w:eastAsia="fr-FR"/>
        </w:rPr>
        <w:t>e.g. civil</w:t>
      </w:r>
      <w:r w:rsidRPr="004D27DF">
        <w:rPr>
          <w:bCs/>
          <w:noProof/>
          <w:lang w:val="en-IE" w:eastAsia="fr-FR"/>
        </w:rPr>
        <w:t xml:space="preserve">, commercial, labour </w:t>
      </w:r>
      <w:r>
        <w:rPr>
          <w:bCs/>
          <w:noProof/>
          <w:lang w:val="en-IE" w:eastAsia="fr-FR"/>
        </w:rPr>
        <w:t>courts</w:t>
      </w:r>
      <w:r w:rsidRPr="004D27DF">
        <w:rPr>
          <w:bCs/>
          <w:noProof/>
          <w:lang w:val="en-IE" w:eastAsia="fr-FR"/>
        </w:rPr>
        <w:t>)</w:t>
      </w:r>
      <w:r>
        <w:rPr>
          <w:bCs/>
          <w:noProof/>
          <w:lang w:val="en-IE" w:eastAsia="fr-FR"/>
        </w:rPr>
        <w:t>. Appeal to a higher court would be limited for certain</w:t>
      </w:r>
      <w:r w:rsidRPr="004D27DF">
        <w:rPr>
          <w:bCs/>
          <w:noProof/>
          <w:lang w:val="en-IE" w:eastAsia="fr-FR"/>
        </w:rPr>
        <w:t xml:space="preserve"> decisions</w:t>
      </w:r>
      <w:r>
        <w:rPr>
          <w:rStyle w:val="FootnoteReference"/>
          <w:bCs/>
          <w:noProof/>
          <w:lang w:val="en-IE" w:eastAsia="fr-FR"/>
        </w:rPr>
        <w:footnoteReference w:id="35"/>
      </w:r>
      <w:r>
        <w:rPr>
          <w:bCs/>
          <w:noProof/>
          <w:lang w:val="en-IE" w:eastAsia="fr-FR"/>
        </w:rPr>
        <w:t>. T</w:t>
      </w:r>
      <w:r w:rsidRPr="004D27DF">
        <w:rPr>
          <w:bCs/>
          <w:noProof/>
          <w:lang w:val="en-IE" w:eastAsia="fr-FR"/>
        </w:rPr>
        <w:t xml:space="preserve">he introduction of a mechanism allowing the President of the Chamber to declare an appeal manifestly inadmissible of his own motion </w:t>
      </w:r>
      <w:r>
        <w:rPr>
          <w:bCs/>
          <w:noProof/>
          <w:lang w:val="en-IE" w:eastAsia="fr-FR"/>
        </w:rPr>
        <w:t>would allow for a better</w:t>
      </w:r>
      <w:r w:rsidRPr="004D27DF">
        <w:rPr>
          <w:bCs/>
          <w:noProof/>
          <w:lang w:val="en-IE" w:eastAsia="fr-FR"/>
        </w:rPr>
        <w:t xml:space="preserve"> screening</w:t>
      </w:r>
      <w:r>
        <w:rPr>
          <w:bCs/>
          <w:noProof/>
          <w:lang w:val="en-IE" w:eastAsia="fr-FR"/>
        </w:rPr>
        <w:t>. A c</w:t>
      </w:r>
      <w:r w:rsidRPr="000573D4">
        <w:rPr>
          <w:bCs/>
          <w:noProof/>
          <w:lang w:val="en-IE" w:eastAsia="fr-FR"/>
        </w:rPr>
        <w:t>ompulsory prior attempt</w:t>
      </w:r>
      <w:r>
        <w:rPr>
          <w:bCs/>
          <w:noProof/>
          <w:lang w:val="en-IE" w:eastAsia="fr-FR"/>
        </w:rPr>
        <w:t xml:space="preserve"> at mediation would become mandatory in cases valued below EUR 10 000. Magistrates’ associations, bars and the </w:t>
      </w:r>
      <w:r w:rsidRPr="559E762B">
        <w:rPr>
          <w:noProof/>
          <w:lang w:val="en-IE" w:eastAsia="fr-FR"/>
        </w:rPr>
        <w:t>European Network for National Human Rights Institutions</w:t>
      </w:r>
      <w:r>
        <w:rPr>
          <w:bCs/>
          <w:noProof/>
          <w:lang w:val="en-IE" w:eastAsia="fr-FR"/>
        </w:rPr>
        <w:t xml:space="preserve"> (ENNHRI) consider this reform to amount to a restriction to the right to appeal</w:t>
      </w:r>
      <w:r>
        <w:rPr>
          <w:rStyle w:val="FootnoteReference"/>
          <w:bCs/>
          <w:noProof/>
          <w:lang w:val="en-IE" w:eastAsia="fr-FR"/>
        </w:rPr>
        <w:footnoteReference w:id="36"/>
      </w:r>
      <w:r>
        <w:rPr>
          <w:bCs/>
          <w:noProof/>
          <w:lang w:val="en-IE" w:eastAsia="fr-FR"/>
        </w:rPr>
        <w:t>. The Government is therefore conducting additional consultations with lawyers and magistrates</w:t>
      </w:r>
      <w:r>
        <w:rPr>
          <w:rStyle w:val="FootnoteReference"/>
          <w:bCs/>
          <w:noProof/>
          <w:lang w:val="en-IE" w:eastAsia="fr-FR"/>
        </w:rPr>
        <w:footnoteReference w:id="37"/>
      </w:r>
      <w:r>
        <w:rPr>
          <w:bCs/>
          <w:noProof/>
          <w:lang w:val="en-IE" w:eastAsia="fr-FR"/>
        </w:rPr>
        <w:t>. With regard to criminal cases, the number of pending cases at first instance courts in serious criminal cases and the regional criminal courts rose by 60% between 2020 and 2024</w:t>
      </w:r>
      <w:r>
        <w:rPr>
          <w:rStyle w:val="FootnoteReference"/>
          <w:bCs/>
          <w:noProof/>
          <w:lang w:val="en-IE" w:eastAsia="fr-FR"/>
        </w:rPr>
        <w:footnoteReference w:id="38"/>
      </w:r>
      <w:r>
        <w:rPr>
          <w:bCs/>
          <w:noProof/>
          <w:lang w:val="en-IE" w:eastAsia="fr-FR"/>
        </w:rPr>
        <w:t>. The Government adopted a draft law</w:t>
      </w:r>
      <w:r>
        <w:rPr>
          <w:rStyle w:val="FootnoteReference"/>
          <w:bCs/>
          <w:noProof/>
          <w:lang w:val="en-IE" w:eastAsia="fr-FR"/>
        </w:rPr>
        <w:footnoteReference w:id="39"/>
      </w:r>
      <w:r>
        <w:rPr>
          <w:bCs/>
          <w:noProof/>
          <w:lang w:val="en-IE" w:eastAsia="fr-FR"/>
        </w:rPr>
        <w:t xml:space="preserve"> with the objective to decrease the duration of criminal procedures. This draft would introduce</w:t>
      </w:r>
      <w:r w:rsidRPr="00085C4E">
        <w:rPr>
          <w:bCs/>
          <w:noProof/>
          <w:lang w:val="en-IE" w:eastAsia="fr-FR"/>
        </w:rPr>
        <w:t xml:space="preserve"> plea</w:t>
      </w:r>
      <w:r>
        <w:rPr>
          <w:bCs/>
          <w:noProof/>
          <w:lang w:val="en-IE" w:eastAsia="fr-FR"/>
        </w:rPr>
        <w:t xml:space="preserve"> bargaining</w:t>
      </w:r>
      <w:r w:rsidRPr="00085C4E">
        <w:rPr>
          <w:bCs/>
          <w:noProof/>
          <w:lang w:val="en-IE" w:eastAsia="fr-FR"/>
        </w:rPr>
        <w:t xml:space="preserve"> in criminal matters and</w:t>
      </w:r>
      <w:r>
        <w:rPr>
          <w:bCs/>
          <w:noProof/>
          <w:lang w:val="en-IE" w:eastAsia="fr-FR"/>
        </w:rPr>
        <w:t xml:space="preserve"> propose to</w:t>
      </w:r>
      <w:r w:rsidRPr="00085C4E">
        <w:rPr>
          <w:bCs/>
          <w:noProof/>
          <w:lang w:val="en-IE" w:eastAsia="fr-FR"/>
        </w:rPr>
        <w:t xml:space="preserve"> reorgan</w:t>
      </w:r>
      <w:r>
        <w:rPr>
          <w:bCs/>
          <w:noProof/>
          <w:lang w:val="en-IE" w:eastAsia="fr-FR"/>
        </w:rPr>
        <w:t>ise</w:t>
      </w:r>
      <w:r w:rsidRPr="00085C4E">
        <w:rPr>
          <w:bCs/>
          <w:noProof/>
          <w:lang w:val="en-IE" w:eastAsia="fr-FR"/>
        </w:rPr>
        <w:t xml:space="preserve"> </w:t>
      </w:r>
      <w:r>
        <w:rPr>
          <w:bCs/>
          <w:noProof/>
          <w:lang w:val="en-IE" w:eastAsia="fr-FR"/>
        </w:rPr>
        <w:t>regional</w:t>
      </w:r>
      <w:r w:rsidRPr="00085C4E">
        <w:rPr>
          <w:bCs/>
          <w:noProof/>
          <w:lang w:val="en-IE" w:eastAsia="fr-FR"/>
        </w:rPr>
        <w:t xml:space="preserve"> criminal courts.</w:t>
      </w:r>
      <w:r>
        <w:rPr>
          <w:bCs/>
          <w:noProof/>
          <w:lang w:val="en-IE" w:eastAsia="fr-FR"/>
        </w:rPr>
        <w:t xml:space="preserve"> Legal professionals and CSOs criticised the lack of publicity of the plea bargaining as criminal convictions would thus result from negotiations between prosecutors and accused, without the public and victims being present</w:t>
      </w:r>
      <w:r>
        <w:rPr>
          <w:rStyle w:val="FootnoteReference"/>
          <w:bCs/>
          <w:noProof/>
          <w:lang w:val="en-IE" w:eastAsia="fr-FR"/>
        </w:rPr>
        <w:footnoteReference w:id="40"/>
      </w:r>
      <w:r>
        <w:rPr>
          <w:bCs/>
          <w:noProof/>
          <w:lang w:val="en-IE" w:eastAsia="fr-FR"/>
        </w:rPr>
        <w:t xml:space="preserve">. As a result, this part of the proposal was dropped </w:t>
      </w:r>
      <w:r w:rsidR="00080ED9">
        <w:rPr>
          <w:bCs/>
          <w:noProof/>
          <w:lang w:val="en-IE" w:eastAsia="fr-FR"/>
        </w:rPr>
        <w:t xml:space="preserve">entirely </w:t>
      </w:r>
      <w:r w:rsidR="00080ED9" w:rsidRPr="00E0044F">
        <w:rPr>
          <w:bCs/>
          <w:noProof/>
          <w:lang w:val="en-IE" w:eastAsia="fr-FR"/>
        </w:rPr>
        <w:t>in June</w:t>
      </w:r>
      <w:r w:rsidRPr="00E0044F">
        <w:rPr>
          <w:bCs/>
          <w:noProof/>
          <w:lang w:val="en-IE" w:eastAsia="fr-FR"/>
        </w:rPr>
        <w:t xml:space="preserve"> 2026</w:t>
      </w:r>
      <w:r w:rsidR="00485C84">
        <w:rPr>
          <w:bCs/>
          <w:noProof/>
          <w:lang w:val="en-IE" w:eastAsia="fr-FR"/>
        </w:rPr>
        <w:t xml:space="preserve"> by the Minister of Justice</w:t>
      </w:r>
      <w:r w:rsidR="004A0DD0">
        <w:rPr>
          <w:bCs/>
          <w:noProof/>
          <w:lang w:val="en-IE" w:eastAsia="fr-FR"/>
        </w:rPr>
        <w:t>, following a negative vote in the Laws’ Committee of the National Assembly</w:t>
      </w:r>
      <w:r w:rsidR="00844CBD">
        <w:rPr>
          <w:bCs/>
          <w:noProof/>
          <w:lang w:val="en-IE" w:eastAsia="fr-FR"/>
        </w:rPr>
        <w:t>, rejecting the whole draft law</w:t>
      </w:r>
      <w:r>
        <w:rPr>
          <w:bCs/>
          <w:noProof/>
          <w:lang w:val="en-IE" w:eastAsia="fr-FR"/>
        </w:rPr>
        <w:t>. The draft also proposes to modify the</w:t>
      </w:r>
      <w:r w:rsidRPr="00454E6D">
        <w:rPr>
          <w:bCs/>
          <w:noProof/>
          <w:lang w:val="en-IE" w:eastAsia="fr-FR"/>
        </w:rPr>
        <w:t xml:space="preserve"> composition of the </w:t>
      </w:r>
      <w:r>
        <w:rPr>
          <w:bCs/>
          <w:noProof/>
          <w:lang w:val="en-IE" w:eastAsia="fr-FR"/>
        </w:rPr>
        <w:t>regional</w:t>
      </w:r>
      <w:r w:rsidRPr="00454E6D">
        <w:rPr>
          <w:bCs/>
          <w:noProof/>
          <w:lang w:val="en-IE" w:eastAsia="fr-FR"/>
        </w:rPr>
        <w:t xml:space="preserve"> criminal courts</w:t>
      </w:r>
      <w:r>
        <w:rPr>
          <w:bCs/>
          <w:noProof/>
          <w:lang w:val="en-IE" w:eastAsia="fr-FR"/>
        </w:rPr>
        <w:t xml:space="preserve"> with the replacement of</w:t>
      </w:r>
      <w:r w:rsidRPr="00454E6D">
        <w:rPr>
          <w:bCs/>
          <w:noProof/>
          <w:lang w:val="en-IE" w:eastAsia="fr-FR"/>
        </w:rPr>
        <w:t xml:space="preserve"> two of the five magistrates by qualified citizen assessors</w:t>
      </w:r>
      <w:r>
        <w:rPr>
          <w:rStyle w:val="FootnoteReference"/>
          <w:bCs/>
          <w:noProof/>
          <w:lang w:val="en-IE" w:eastAsia="fr-FR"/>
        </w:rPr>
        <w:footnoteReference w:id="41"/>
      </w:r>
      <w:r w:rsidRPr="00454E6D">
        <w:rPr>
          <w:bCs/>
          <w:noProof/>
          <w:lang w:val="en-IE" w:eastAsia="fr-FR"/>
        </w:rPr>
        <w:t xml:space="preserve">, </w:t>
      </w:r>
      <w:r>
        <w:rPr>
          <w:bCs/>
          <w:noProof/>
          <w:lang w:val="en-IE" w:eastAsia="fr-FR"/>
        </w:rPr>
        <w:t xml:space="preserve">to </w:t>
      </w:r>
      <w:r w:rsidRPr="00454E6D">
        <w:rPr>
          <w:bCs/>
          <w:noProof/>
          <w:lang w:val="en-IE" w:eastAsia="fr-FR"/>
        </w:rPr>
        <w:t>restore a form of popular jury in criminal justice.</w:t>
      </w:r>
    </w:p>
    <w:p w14:paraId="1234624F" w14:textId="4184FA02" w:rsidR="00AD63B1" w:rsidRPr="00AD63B1" w:rsidRDefault="00AD63B1" w:rsidP="00613FAD">
      <w:pPr>
        <w:pStyle w:val="Heading1"/>
        <w:numPr>
          <w:ilvl w:val="0"/>
          <w:numId w:val="33"/>
        </w:numPr>
        <w:spacing w:before="0"/>
        <w:rPr>
          <w:noProof/>
          <w:u w:val="single"/>
          <w:lang w:val="en-IE"/>
        </w:rPr>
      </w:pPr>
      <w:r w:rsidRPr="00AD63B1">
        <w:rPr>
          <w:noProof/>
          <w:u w:val="single"/>
          <w:lang w:val="en-IE"/>
        </w:rPr>
        <w:t xml:space="preserve">Anti-Corruption Framework </w:t>
      </w:r>
    </w:p>
    <w:p w14:paraId="7EAC382D" w14:textId="77777777" w:rsidR="00AD63B1" w:rsidRDefault="00AD63B1" w:rsidP="00AD63B1">
      <w:pPr>
        <w:spacing w:after="220"/>
        <w:rPr>
          <w:noProof/>
          <w:color w:val="000000" w:themeColor="text1"/>
        </w:rPr>
      </w:pPr>
      <w:r w:rsidRPr="00F15D56">
        <w:rPr>
          <w:b/>
          <w:bCs/>
          <w:noProof/>
          <w:color w:val="000000" w:themeColor="text1"/>
        </w:rPr>
        <w:t xml:space="preserve">The perception among experts, citizens and business executives is that the level of corruption in the public sector remains relatively low. </w:t>
      </w:r>
      <w:r w:rsidRPr="005B7D0A">
        <w:rPr>
          <w:noProof/>
          <w:color w:val="000000" w:themeColor="text1"/>
        </w:rPr>
        <w:t>In the 202</w:t>
      </w:r>
      <w:r>
        <w:rPr>
          <w:noProof/>
          <w:color w:val="000000" w:themeColor="text1"/>
        </w:rPr>
        <w:t>6</w:t>
      </w:r>
      <w:r w:rsidRPr="005874C0">
        <w:rPr>
          <w:noProof/>
          <w:color w:val="000000" w:themeColor="text1"/>
        </w:rPr>
        <w:t xml:space="preserve"> Corruption Perceptions Index by Transparency International, France scores 6</w:t>
      </w:r>
      <w:r>
        <w:rPr>
          <w:noProof/>
          <w:color w:val="000000" w:themeColor="text1"/>
        </w:rPr>
        <w:t>6</w:t>
      </w:r>
      <w:r w:rsidRPr="00AB47CF">
        <w:rPr>
          <w:noProof/>
          <w:color w:val="000000" w:themeColor="text1"/>
        </w:rPr>
        <w:t>/100</w:t>
      </w:r>
      <w:r>
        <w:rPr>
          <w:rStyle w:val="FootnoteReference"/>
          <w:noProof/>
          <w:color w:val="000000" w:themeColor="text1"/>
        </w:rPr>
        <w:footnoteReference w:id="42"/>
      </w:r>
      <w:r w:rsidRPr="005B7D0A">
        <w:rPr>
          <w:noProof/>
          <w:color w:val="000000" w:themeColor="text1"/>
        </w:rPr>
        <w:t xml:space="preserve"> and ranks 1</w:t>
      </w:r>
      <w:r>
        <w:rPr>
          <w:noProof/>
          <w:color w:val="000000" w:themeColor="text1"/>
        </w:rPr>
        <w:t>1</w:t>
      </w:r>
      <w:r w:rsidRPr="00AB47CF">
        <w:rPr>
          <w:noProof/>
          <w:color w:val="000000" w:themeColor="text1"/>
          <w:vertAlign w:val="superscript"/>
        </w:rPr>
        <w:t>th</w:t>
      </w:r>
      <w:r w:rsidRPr="005B7D0A">
        <w:rPr>
          <w:noProof/>
          <w:color w:val="000000" w:themeColor="text1"/>
        </w:rPr>
        <w:t xml:space="preserve"> in the European Union and 2</w:t>
      </w:r>
      <w:r>
        <w:rPr>
          <w:noProof/>
          <w:color w:val="000000" w:themeColor="text1"/>
        </w:rPr>
        <w:t>7</w:t>
      </w:r>
      <w:r w:rsidRPr="005B7D0A">
        <w:rPr>
          <w:noProof/>
          <w:color w:val="000000" w:themeColor="text1"/>
          <w:vertAlign w:val="superscript"/>
        </w:rPr>
        <w:t>th</w:t>
      </w:r>
      <w:r w:rsidRPr="005B7D0A">
        <w:rPr>
          <w:noProof/>
          <w:color w:val="000000" w:themeColor="text1"/>
        </w:rPr>
        <w:t xml:space="preserve"> globally. This perception has </w:t>
      </w:r>
      <w:r>
        <w:rPr>
          <w:noProof/>
          <w:color w:val="000000" w:themeColor="text1"/>
        </w:rPr>
        <w:t>deteriorated</w:t>
      </w:r>
      <w:r w:rsidRPr="005B7D0A">
        <w:rPr>
          <w:noProof/>
          <w:color w:val="000000" w:themeColor="text1"/>
        </w:rPr>
        <w:t xml:space="preserve"> over the past five years</w:t>
      </w:r>
      <w:r>
        <w:rPr>
          <w:rStyle w:val="FootnoteReference"/>
          <w:noProof/>
          <w:color w:val="000000" w:themeColor="text1"/>
        </w:rPr>
        <w:footnoteReference w:id="43"/>
      </w:r>
      <w:r w:rsidRPr="005B7D0A">
        <w:rPr>
          <w:noProof/>
          <w:color w:val="000000" w:themeColor="text1"/>
        </w:rPr>
        <w:t>. The 202</w:t>
      </w:r>
      <w:r>
        <w:rPr>
          <w:noProof/>
          <w:color w:val="000000" w:themeColor="text1"/>
        </w:rPr>
        <w:t>6</w:t>
      </w:r>
      <w:r w:rsidRPr="005B7D0A">
        <w:rPr>
          <w:noProof/>
          <w:color w:val="000000" w:themeColor="text1"/>
        </w:rPr>
        <w:t xml:space="preserve"> Special Eurobarometer on Corruption shows that </w:t>
      </w:r>
      <w:r>
        <w:rPr>
          <w:noProof/>
          <w:color w:val="000000" w:themeColor="text1"/>
        </w:rPr>
        <w:t>77</w:t>
      </w:r>
      <w:r w:rsidRPr="005B7D0A">
        <w:rPr>
          <w:noProof/>
          <w:color w:val="000000" w:themeColor="text1"/>
        </w:rPr>
        <w:t xml:space="preserve">% of respondents consider corruption widespread in their country (EU average </w:t>
      </w:r>
      <w:r>
        <w:rPr>
          <w:noProof/>
          <w:color w:val="000000" w:themeColor="text1"/>
        </w:rPr>
        <w:t>71</w:t>
      </w:r>
      <w:r w:rsidRPr="005B7D0A">
        <w:rPr>
          <w:noProof/>
          <w:color w:val="000000" w:themeColor="text1"/>
        </w:rPr>
        <w:t xml:space="preserve">%) and </w:t>
      </w:r>
      <w:r>
        <w:rPr>
          <w:noProof/>
          <w:color w:val="000000" w:themeColor="text1"/>
        </w:rPr>
        <w:t>12</w:t>
      </w:r>
      <w:r w:rsidRPr="005B7D0A">
        <w:rPr>
          <w:noProof/>
          <w:color w:val="000000" w:themeColor="text1"/>
        </w:rPr>
        <w:t>% of respondents feel personally affected by corruption in their daily lives (EU average 30%). As regards</w:t>
      </w:r>
      <w:r w:rsidRPr="005B7D0A" w:rsidDel="00F15D56">
        <w:rPr>
          <w:noProof/>
          <w:color w:val="000000" w:themeColor="text1"/>
        </w:rPr>
        <w:t xml:space="preserve"> </w:t>
      </w:r>
      <w:r w:rsidRPr="005B7D0A">
        <w:rPr>
          <w:noProof/>
          <w:color w:val="000000" w:themeColor="text1"/>
        </w:rPr>
        <w:t>businesses, 6</w:t>
      </w:r>
      <w:r>
        <w:rPr>
          <w:noProof/>
          <w:color w:val="000000" w:themeColor="text1"/>
        </w:rPr>
        <w:t>5</w:t>
      </w:r>
      <w:r w:rsidRPr="005B7D0A">
        <w:rPr>
          <w:noProof/>
          <w:color w:val="000000" w:themeColor="text1"/>
        </w:rPr>
        <w:t>% of companies consider that corruption is widespread (EU average 6</w:t>
      </w:r>
      <w:r>
        <w:rPr>
          <w:noProof/>
          <w:color w:val="000000" w:themeColor="text1"/>
        </w:rPr>
        <w:t>5</w:t>
      </w:r>
      <w:r w:rsidRPr="005B7D0A">
        <w:rPr>
          <w:noProof/>
          <w:color w:val="000000" w:themeColor="text1"/>
        </w:rPr>
        <w:t>%) and 4</w:t>
      </w:r>
      <w:r>
        <w:rPr>
          <w:noProof/>
          <w:color w:val="000000" w:themeColor="text1"/>
        </w:rPr>
        <w:t>7</w:t>
      </w:r>
      <w:r w:rsidRPr="005B7D0A">
        <w:rPr>
          <w:noProof/>
          <w:color w:val="000000" w:themeColor="text1"/>
        </w:rPr>
        <w:t>% consider that corruption is a problem when doing business (EU average 3</w:t>
      </w:r>
      <w:r>
        <w:rPr>
          <w:noProof/>
          <w:color w:val="000000" w:themeColor="text1"/>
        </w:rPr>
        <w:t>7</w:t>
      </w:r>
      <w:r w:rsidRPr="005B7D0A">
        <w:rPr>
          <w:noProof/>
          <w:color w:val="000000" w:themeColor="text1"/>
        </w:rPr>
        <w:t>%). Furthermore, 2</w:t>
      </w:r>
      <w:r>
        <w:rPr>
          <w:noProof/>
          <w:color w:val="000000" w:themeColor="text1"/>
        </w:rPr>
        <w:t>8</w:t>
      </w:r>
      <w:r w:rsidRPr="005B7D0A">
        <w:rPr>
          <w:noProof/>
          <w:color w:val="000000" w:themeColor="text1"/>
        </w:rPr>
        <w:t>% of respondents find that there are enough successful prosecutions to deter people from corrupt practices (EU average 3</w:t>
      </w:r>
      <w:r>
        <w:rPr>
          <w:noProof/>
          <w:color w:val="000000" w:themeColor="text1"/>
        </w:rPr>
        <w:t>8</w:t>
      </w:r>
      <w:r w:rsidRPr="005B7D0A">
        <w:rPr>
          <w:noProof/>
          <w:color w:val="000000" w:themeColor="text1"/>
        </w:rPr>
        <w:t xml:space="preserve">%), while </w:t>
      </w:r>
      <w:r>
        <w:rPr>
          <w:noProof/>
          <w:color w:val="000000" w:themeColor="text1"/>
        </w:rPr>
        <w:t>3</w:t>
      </w:r>
      <w:r w:rsidRPr="005B7D0A">
        <w:rPr>
          <w:noProof/>
          <w:color w:val="000000" w:themeColor="text1"/>
        </w:rPr>
        <w:t>4% of companies believe that people and businesses caught for bribing a senior official are appropriately punished (EU average 3</w:t>
      </w:r>
      <w:r>
        <w:rPr>
          <w:noProof/>
          <w:color w:val="000000" w:themeColor="text1"/>
        </w:rPr>
        <w:t>1</w:t>
      </w:r>
      <w:r w:rsidRPr="005B7D0A">
        <w:rPr>
          <w:noProof/>
          <w:color w:val="000000" w:themeColor="text1"/>
        </w:rPr>
        <w:t>%)</w:t>
      </w:r>
      <w:r>
        <w:rPr>
          <w:rStyle w:val="FootnoteReference"/>
          <w:noProof/>
          <w:color w:val="000000" w:themeColor="text1"/>
        </w:rPr>
        <w:footnoteReference w:id="44"/>
      </w:r>
      <w:r w:rsidRPr="005B7D0A">
        <w:rPr>
          <w:noProof/>
          <w:color w:val="000000" w:themeColor="text1"/>
        </w:rPr>
        <w:t>.</w:t>
      </w:r>
      <w:r w:rsidRPr="005B7D0A" w:rsidDel="00F15D56">
        <w:rPr>
          <w:noProof/>
          <w:color w:val="000000" w:themeColor="text1"/>
        </w:rPr>
        <w:t xml:space="preserve"> </w:t>
      </w:r>
    </w:p>
    <w:p w14:paraId="2FF4217E" w14:textId="77777777" w:rsidR="00AD63B1" w:rsidRDefault="00AD63B1" w:rsidP="00AD63B1">
      <w:pPr>
        <w:spacing w:after="220"/>
        <w:rPr>
          <w:noProof/>
          <w:color w:val="000000" w:themeColor="text1"/>
          <w:lang w:val="en-IE"/>
        </w:rPr>
      </w:pPr>
      <w:r w:rsidRPr="28185221">
        <w:rPr>
          <w:b/>
          <w:bCs/>
          <w:noProof/>
          <w:color w:val="000000" w:themeColor="text1"/>
        </w:rPr>
        <w:t xml:space="preserve">The 2025-2029 National Plan Against Corruption, setting the priorities for the next </w:t>
      </w:r>
      <w:r w:rsidRPr="3BF1CDDE">
        <w:rPr>
          <w:b/>
          <w:bCs/>
          <w:noProof/>
          <w:color w:val="000000" w:themeColor="text1"/>
        </w:rPr>
        <w:t>five</w:t>
      </w:r>
      <w:r w:rsidRPr="28185221">
        <w:rPr>
          <w:b/>
          <w:bCs/>
          <w:noProof/>
          <w:color w:val="000000" w:themeColor="text1"/>
        </w:rPr>
        <w:t xml:space="preserve"> years, </w:t>
      </w:r>
      <w:r>
        <w:rPr>
          <w:b/>
          <w:bCs/>
          <w:noProof/>
          <w:color w:val="000000" w:themeColor="text1"/>
        </w:rPr>
        <w:t xml:space="preserve">was </w:t>
      </w:r>
      <w:r w:rsidRPr="28185221">
        <w:rPr>
          <w:b/>
          <w:bCs/>
          <w:noProof/>
          <w:color w:val="000000" w:themeColor="text1"/>
        </w:rPr>
        <w:t xml:space="preserve">adopted </w:t>
      </w:r>
      <w:r>
        <w:rPr>
          <w:b/>
          <w:bCs/>
          <w:noProof/>
          <w:color w:val="000000" w:themeColor="text1"/>
        </w:rPr>
        <w:t xml:space="preserve">in </w:t>
      </w:r>
      <w:r w:rsidRPr="28185221">
        <w:rPr>
          <w:b/>
          <w:bCs/>
          <w:noProof/>
          <w:color w:val="000000" w:themeColor="text1"/>
        </w:rPr>
        <w:t xml:space="preserve">November 2025. </w:t>
      </w:r>
      <w:r w:rsidRPr="28185221">
        <w:rPr>
          <w:noProof/>
          <w:color w:val="000000" w:themeColor="text1"/>
        </w:rPr>
        <w:t>It is organi</w:t>
      </w:r>
      <w:r>
        <w:rPr>
          <w:noProof/>
          <w:color w:val="000000" w:themeColor="text1"/>
        </w:rPr>
        <w:t>s</w:t>
      </w:r>
      <w:r w:rsidRPr="28185221">
        <w:rPr>
          <w:noProof/>
          <w:color w:val="000000" w:themeColor="text1"/>
        </w:rPr>
        <w:t>ed around four pillars:</w:t>
      </w:r>
      <w:r w:rsidRPr="28185221">
        <w:rPr>
          <w:b/>
          <w:bCs/>
          <w:noProof/>
          <w:color w:val="000000" w:themeColor="text1"/>
        </w:rPr>
        <w:t xml:space="preserve"> </w:t>
      </w:r>
      <w:r>
        <w:rPr>
          <w:noProof/>
          <w:color w:val="000000" w:themeColor="text1"/>
        </w:rPr>
        <w:t>fighting</w:t>
      </w:r>
      <w:r w:rsidRPr="28185221">
        <w:rPr>
          <w:noProof/>
          <w:color w:val="000000" w:themeColor="text1"/>
        </w:rPr>
        <w:t xml:space="preserve"> corruption and integrity in central government departments, helping local authorities to fight corruption</w:t>
      </w:r>
      <w:r w:rsidRPr="28185221">
        <w:rPr>
          <w:rStyle w:val="FootnoteReference"/>
          <w:noProof/>
          <w:color w:val="000000" w:themeColor="text1"/>
        </w:rPr>
        <w:footnoteReference w:id="45"/>
      </w:r>
      <w:r w:rsidRPr="28185221">
        <w:rPr>
          <w:noProof/>
          <w:color w:val="000000" w:themeColor="text1"/>
        </w:rPr>
        <w:t xml:space="preserve">, protecting economic stakeholders against corruption and combating corruption at </w:t>
      </w:r>
      <w:r>
        <w:rPr>
          <w:noProof/>
          <w:color w:val="000000" w:themeColor="text1"/>
        </w:rPr>
        <w:t xml:space="preserve">the </w:t>
      </w:r>
      <w:r w:rsidRPr="28185221">
        <w:rPr>
          <w:noProof/>
          <w:color w:val="000000" w:themeColor="text1"/>
        </w:rPr>
        <w:t xml:space="preserve">international level. </w:t>
      </w:r>
      <w:r>
        <w:rPr>
          <w:noProof/>
          <w:color w:val="000000" w:themeColor="text1"/>
        </w:rPr>
        <w:t>The plan</w:t>
      </w:r>
      <w:r w:rsidRPr="28185221">
        <w:rPr>
          <w:noProof/>
          <w:color w:val="000000" w:themeColor="text1"/>
        </w:rPr>
        <w:t xml:space="preserve"> lists a total of 36 measures covering prevention and repression as well as all actors involved in anti-corruption activities. A large majority of the measures cover central government departments, </w:t>
      </w:r>
      <w:r w:rsidRPr="3BF1CDDE">
        <w:rPr>
          <w:noProof/>
          <w:color w:val="000000" w:themeColor="text1"/>
        </w:rPr>
        <w:t>while</w:t>
      </w:r>
      <w:r w:rsidRPr="28185221">
        <w:rPr>
          <w:noProof/>
          <w:color w:val="000000" w:themeColor="text1"/>
        </w:rPr>
        <w:t xml:space="preserve"> the </w:t>
      </w:r>
      <w:r>
        <w:rPr>
          <w:noProof/>
          <w:color w:val="000000" w:themeColor="text1"/>
        </w:rPr>
        <w:t>remaining measures relate to</w:t>
      </w:r>
      <w:r w:rsidRPr="28185221">
        <w:rPr>
          <w:noProof/>
          <w:color w:val="000000" w:themeColor="text1"/>
        </w:rPr>
        <w:t xml:space="preserve"> the local level administration and private sector</w:t>
      </w:r>
      <w:r w:rsidRPr="28185221">
        <w:rPr>
          <w:rStyle w:val="FootnoteReference"/>
          <w:noProof/>
          <w:color w:val="000000" w:themeColor="text1"/>
        </w:rPr>
        <w:footnoteReference w:id="46"/>
      </w:r>
      <w:r w:rsidRPr="28185221">
        <w:rPr>
          <w:noProof/>
          <w:color w:val="000000" w:themeColor="text1"/>
        </w:rPr>
        <w:t>. The National Plan introduces a</w:t>
      </w:r>
      <w:r>
        <w:rPr>
          <w:noProof/>
          <w:color w:val="000000" w:themeColor="text1"/>
        </w:rPr>
        <w:t>n</w:t>
      </w:r>
      <w:r w:rsidRPr="28185221">
        <w:rPr>
          <w:noProof/>
          <w:color w:val="000000" w:themeColor="text1"/>
        </w:rPr>
        <w:t xml:space="preserve"> Interministerial Committee in charge of overseeing its implementation</w:t>
      </w:r>
      <w:r w:rsidRPr="28185221">
        <w:rPr>
          <w:rStyle w:val="FootnoteReference"/>
          <w:noProof/>
          <w:color w:val="000000" w:themeColor="text1"/>
        </w:rPr>
        <w:footnoteReference w:id="47"/>
      </w:r>
      <w:r w:rsidRPr="28185221">
        <w:rPr>
          <w:noProof/>
          <w:color w:val="000000" w:themeColor="text1"/>
        </w:rPr>
        <w:t>. The French Anti-corruption Agency (</w:t>
      </w:r>
      <w:r w:rsidRPr="004F66A9">
        <w:rPr>
          <w:noProof/>
          <w:color w:val="000000" w:themeColor="text1"/>
        </w:rPr>
        <w:t>AFA</w:t>
      </w:r>
      <w:r w:rsidRPr="28185221">
        <w:rPr>
          <w:noProof/>
          <w:color w:val="000000" w:themeColor="text1"/>
        </w:rPr>
        <w:t xml:space="preserve">) is tasked with the coordination of the work of </w:t>
      </w:r>
      <w:r>
        <w:rPr>
          <w:noProof/>
          <w:color w:val="000000" w:themeColor="text1"/>
        </w:rPr>
        <w:t>this</w:t>
      </w:r>
      <w:r w:rsidRPr="28185221">
        <w:rPr>
          <w:noProof/>
          <w:color w:val="000000" w:themeColor="text1"/>
        </w:rPr>
        <w:t xml:space="preserve"> </w:t>
      </w:r>
      <w:r>
        <w:rPr>
          <w:noProof/>
          <w:color w:val="000000" w:themeColor="text1"/>
        </w:rPr>
        <w:t>c</w:t>
      </w:r>
      <w:r w:rsidRPr="28185221">
        <w:rPr>
          <w:noProof/>
          <w:color w:val="000000" w:themeColor="text1"/>
        </w:rPr>
        <w:t>ommittee</w:t>
      </w:r>
      <w:r w:rsidRPr="28185221">
        <w:rPr>
          <w:rStyle w:val="FootnoteReference"/>
          <w:noProof/>
          <w:color w:val="000000" w:themeColor="text1"/>
        </w:rPr>
        <w:footnoteReference w:id="48"/>
      </w:r>
      <w:r w:rsidRPr="28185221">
        <w:rPr>
          <w:noProof/>
          <w:color w:val="000000" w:themeColor="text1"/>
        </w:rPr>
        <w:t xml:space="preserve">. </w:t>
      </w:r>
      <w:r w:rsidRPr="3BF1CDDE">
        <w:rPr>
          <w:noProof/>
          <w:color w:val="000000" w:themeColor="text1"/>
        </w:rPr>
        <w:t>The focus is now</w:t>
      </w:r>
      <w:r w:rsidRPr="28185221">
        <w:rPr>
          <w:noProof/>
          <w:color w:val="000000" w:themeColor="text1"/>
        </w:rPr>
        <w:t xml:space="preserve"> on the implementation of the National Plan</w:t>
      </w:r>
      <w:r w:rsidRPr="28185221">
        <w:rPr>
          <w:rStyle w:val="FootnoteReference"/>
          <w:noProof/>
          <w:color w:val="000000" w:themeColor="text1"/>
        </w:rPr>
        <w:footnoteReference w:id="49"/>
      </w:r>
      <w:r w:rsidRPr="28185221">
        <w:rPr>
          <w:noProof/>
          <w:color w:val="000000" w:themeColor="text1"/>
        </w:rPr>
        <w:t xml:space="preserve"> and the </w:t>
      </w:r>
      <w:r>
        <w:rPr>
          <w:noProof/>
          <w:color w:val="000000" w:themeColor="text1"/>
        </w:rPr>
        <w:t>identification of</w:t>
      </w:r>
      <w:r w:rsidRPr="28185221">
        <w:rPr>
          <w:noProof/>
          <w:color w:val="000000" w:themeColor="text1"/>
        </w:rPr>
        <w:t xml:space="preserve"> resources (human, financial) available for its implementation</w:t>
      </w:r>
      <w:r w:rsidRPr="6A54C549">
        <w:rPr>
          <w:rStyle w:val="FootnoteReference"/>
          <w:noProof/>
          <w:color w:val="000000" w:themeColor="text1"/>
        </w:rPr>
        <w:footnoteReference w:id="50"/>
      </w:r>
      <w:r w:rsidRPr="28185221">
        <w:rPr>
          <w:noProof/>
          <w:color w:val="000000" w:themeColor="text1"/>
        </w:rPr>
        <w:t>.</w:t>
      </w:r>
    </w:p>
    <w:p w14:paraId="43B59E17" w14:textId="22CFDF93" w:rsidR="00AD63B1" w:rsidRPr="00115610" w:rsidRDefault="00AD63B1" w:rsidP="00AD63B1">
      <w:pPr>
        <w:rPr>
          <w:noProof/>
          <w:sz w:val="20"/>
          <w:vertAlign w:val="superscript"/>
        </w:rPr>
      </w:pPr>
      <w:r>
        <w:rPr>
          <w:b/>
          <w:bCs/>
          <w:noProof/>
          <w:color w:val="000000" w:themeColor="text1"/>
        </w:rPr>
        <w:t>Further efforts</w:t>
      </w:r>
      <w:r w:rsidRPr="747EC7B3">
        <w:rPr>
          <w:b/>
          <w:bCs/>
          <w:noProof/>
          <w:color w:val="000000" w:themeColor="text1"/>
        </w:rPr>
        <w:t xml:space="preserve"> </w:t>
      </w:r>
      <w:r w:rsidRPr="6F059410">
        <w:rPr>
          <w:b/>
          <w:bCs/>
          <w:noProof/>
          <w:color w:val="000000" w:themeColor="text1"/>
        </w:rPr>
        <w:t xml:space="preserve">are being </w:t>
      </w:r>
      <w:r>
        <w:rPr>
          <w:b/>
          <w:bCs/>
          <w:noProof/>
          <w:color w:val="000000" w:themeColor="text1"/>
        </w:rPr>
        <w:t xml:space="preserve">made </w:t>
      </w:r>
      <w:r w:rsidRPr="6F059410">
        <w:rPr>
          <w:b/>
          <w:bCs/>
          <w:noProof/>
          <w:color w:val="000000" w:themeColor="text1"/>
        </w:rPr>
        <w:t xml:space="preserve">in the prosecution of corruption </w:t>
      </w:r>
      <w:r w:rsidRPr="005843BC">
        <w:rPr>
          <w:b/>
          <w:bCs/>
          <w:noProof/>
          <w:color w:val="000000" w:themeColor="text1"/>
        </w:rPr>
        <w:t>cases</w:t>
      </w:r>
      <w:r w:rsidRPr="6F059410">
        <w:rPr>
          <w:b/>
          <w:bCs/>
          <w:noProof/>
          <w:color w:val="000000" w:themeColor="text1"/>
        </w:rPr>
        <w:t xml:space="preserve">. </w:t>
      </w:r>
      <w:r w:rsidRPr="6A54C549">
        <w:rPr>
          <w:noProof/>
          <w:color w:val="000000" w:themeColor="text1"/>
        </w:rPr>
        <w:t>In</w:t>
      </w:r>
      <w:r>
        <w:rPr>
          <w:noProof/>
          <w:color w:val="000000" w:themeColor="text1"/>
        </w:rPr>
        <w:t>vestigation services</w:t>
      </w:r>
      <w:r w:rsidRPr="6A54C549">
        <w:rPr>
          <w:noProof/>
          <w:color w:val="000000" w:themeColor="text1"/>
        </w:rPr>
        <w:t xml:space="preserve"> </w:t>
      </w:r>
      <w:r>
        <w:rPr>
          <w:noProof/>
          <w:color w:val="000000" w:themeColor="text1"/>
        </w:rPr>
        <w:t>dealing with</w:t>
      </w:r>
      <w:r w:rsidRPr="6A54C549">
        <w:rPr>
          <w:noProof/>
          <w:color w:val="000000" w:themeColor="text1"/>
        </w:rPr>
        <w:t xml:space="preserve"> corruption </w:t>
      </w:r>
      <w:r>
        <w:rPr>
          <w:noProof/>
          <w:color w:val="000000" w:themeColor="text1"/>
        </w:rPr>
        <w:t>are being reinforced</w:t>
      </w:r>
      <w:r>
        <w:rPr>
          <w:rStyle w:val="FootnoteReference"/>
          <w:noProof/>
          <w:color w:val="000000" w:themeColor="text1"/>
        </w:rPr>
        <w:footnoteReference w:id="51"/>
      </w:r>
      <w:r>
        <w:rPr>
          <w:noProof/>
          <w:color w:val="000000" w:themeColor="text1"/>
        </w:rPr>
        <w:t xml:space="preserve">, although resource constraints </w:t>
      </w:r>
      <w:r w:rsidRPr="6A54C549">
        <w:rPr>
          <w:noProof/>
          <w:color w:val="000000" w:themeColor="text1"/>
        </w:rPr>
        <w:t>remain</w:t>
      </w:r>
      <w:r>
        <w:rPr>
          <w:rStyle w:val="FootnoteReference"/>
          <w:noProof/>
          <w:color w:val="000000" w:themeColor="text1"/>
        </w:rPr>
        <w:footnoteReference w:id="52"/>
      </w:r>
      <w:r>
        <w:rPr>
          <w:noProof/>
          <w:color w:val="000000" w:themeColor="text1"/>
        </w:rPr>
        <w:t>.</w:t>
      </w:r>
      <w:r w:rsidRPr="6A54C549">
        <w:rPr>
          <w:noProof/>
          <w:color w:val="000000" w:themeColor="text1"/>
        </w:rPr>
        <w:t xml:space="preserve"> </w:t>
      </w:r>
      <w:r>
        <w:rPr>
          <w:noProof/>
          <w:color w:val="000000" w:themeColor="text1"/>
        </w:rPr>
        <w:t xml:space="preserve">Paralegal staff members </w:t>
      </w:r>
      <w:r w:rsidRPr="6A54C549">
        <w:rPr>
          <w:noProof/>
          <w:color w:val="000000" w:themeColor="text1"/>
        </w:rPr>
        <w:t xml:space="preserve">have been recruited at the National Financial Prosecutor Office </w:t>
      </w:r>
      <w:r w:rsidRPr="35A71448">
        <w:rPr>
          <w:noProof/>
          <w:color w:val="000000" w:themeColor="text1"/>
        </w:rPr>
        <w:t>(</w:t>
      </w:r>
      <w:r w:rsidRPr="6A54C549">
        <w:rPr>
          <w:noProof/>
          <w:color w:val="000000" w:themeColor="text1"/>
        </w:rPr>
        <w:t>PNF)</w:t>
      </w:r>
      <w:r>
        <w:rPr>
          <w:rStyle w:val="FootnoteReference"/>
          <w:noProof/>
          <w:color w:val="000000" w:themeColor="text1"/>
        </w:rPr>
        <w:footnoteReference w:id="53"/>
      </w:r>
      <w:r w:rsidRPr="6A54C549">
        <w:rPr>
          <w:noProof/>
          <w:color w:val="000000" w:themeColor="text1"/>
        </w:rPr>
        <w:t xml:space="preserve"> and reinforcement as regards prosecutor</w:t>
      </w:r>
      <w:r>
        <w:rPr>
          <w:noProof/>
          <w:color w:val="000000" w:themeColor="text1"/>
        </w:rPr>
        <w:t>s</w:t>
      </w:r>
      <w:r w:rsidRPr="6A54C549">
        <w:rPr>
          <w:noProof/>
          <w:color w:val="000000" w:themeColor="text1"/>
        </w:rPr>
        <w:t>’ positions is being considered</w:t>
      </w:r>
      <w:r>
        <w:rPr>
          <w:rStyle w:val="FootnoteReference"/>
          <w:noProof/>
          <w:color w:val="000000" w:themeColor="text1"/>
        </w:rPr>
        <w:footnoteReference w:id="54"/>
      </w:r>
      <w:r w:rsidRPr="6A54C549">
        <w:rPr>
          <w:noProof/>
          <w:color w:val="000000" w:themeColor="text1"/>
        </w:rPr>
        <w:t xml:space="preserve">. </w:t>
      </w:r>
      <w:r>
        <w:rPr>
          <w:noProof/>
          <w:color w:val="000000" w:themeColor="text1"/>
        </w:rPr>
        <w:t>T</w:t>
      </w:r>
      <w:r w:rsidRPr="6A54C549">
        <w:rPr>
          <w:noProof/>
          <w:color w:val="000000" w:themeColor="text1"/>
        </w:rPr>
        <w:t>he number of pending cases at the PNF</w:t>
      </w:r>
      <w:r>
        <w:rPr>
          <w:noProof/>
          <w:color w:val="000000" w:themeColor="text1"/>
        </w:rPr>
        <w:t xml:space="preserve"> </w:t>
      </w:r>
      <w:r w:rsidRPr="008E38F7">
        <w:rPr>
          <w:noProof/>
          <w:color w:val="000000" w:themeColor="text1"/>
        </w:rPr>
        <w:t>shows a stabilisation</w:t>
      </w:r>
      <w:r>
        <w:rPr>
          <w:noProof/>
          <w:color w:val="000000" w:themeColor="text1"/>
        </w:rPr>
        <w:t xml:space="preserve"> since 2023 after several years of increase</w:t>
      </w:r>
      <w:r>
        <w:rPr>
          <w:rStyle w:val="FootnoteReference"/>
          <w:noProof/>
          <w:color w:val="000000" w:themeColor="text1"/>
        </w:rPr>
        <w:footnoteReference w:id="55"/>
      </w:r>
      <w:r w:rsidRPr="35A71448">
        <w:rPr>
          <w:noProof/>
          <w:color w:val="000000" w:themeColor="text1"/>
        </w:rPr>
        <w:t>.</w:t>
      </w:r>
      <w:r w:rsidRPr="6F059410">
        <w:rPr>
          <w:noProof/>
          <w:color w:val="000000" w:themeColor="text1"/>
        </w:rPr>
        <w:t xml:space="preserve"> A National Prosecutor Office for Organised Crime </w:t>
      </w:r>
      <w:r w:rsidRPr="38D089A9">
        <w:rPr>
          <w:noProof/>
          <w:color w:val="000000" w:themeColor="text1"/>
        </w:rPr>
        <w:t xml:space="preserve">was </w:t>
      </w:r>
      <w:r w:rsidRPr="68660D41">
        <w:rPr>
          <w:noProof/>
          <w:color w:val="000000" w:themeColor="text1"/>
        </w:rPr>
        <w:t>created</w:t>
      </w:r>
      <w:r>
        <w:rPr>
          <w:rStyle w:val="FootnoteReference"/>
          <w:noProof/>
          <w:color w:val="000000" w:themeColor="text1"/>
        </w:rPr>
        <w:footnoteReference w:id="56"/>
      </w:r>
      <w:r>
        <w:rPr>
          <w:noProof/>
          <w:color w:val="000000" w:themeColor="text1"/>
        </w:rPr>
        <w:t xml:space="preserve"> and is operational since January 2026</w:t>
      </w:r>
      <w:r w:rsidRPr="39F92319">
        <w:rPr>
          <w:noProof/>
        </w:rPr>
        <w:t xml:space="preserve">. </w:t>
      </w:r>
      <w:r w:rsidRPr="68660D41">
        <w:rPr>
          <w:noProof/>
          <w:color w:val="000000" w:themeColor="text1"/>
        </w:rPr>
        <w:t>Its competences include</w:t>
      </w:r>
      <w:r w:rsidRPr="6A54C549">
        <w:rPr>
          <w:noProof/>
          <w:color w:val="000000" w:themeColor="text1"/>
        </w:rPr>
        <w:t xml:space="preserve"> complex cases of bribery linked to organised crime. </w:t>
      </w:r>
      <w:r>
        <w:rPr>
          <w:noProof/>
          <w:color w:val="000000" w:themeColor="text1"/>
        </w:rPr>
        <w:t xml:space="preserve">Prosecutors </w:t>
      </w:r>
      <w:r w:rsidRPr="68660D41">
        <w:rPr>
          <w:noProof/>
          <w:color w:val="000000" w:themeColor="text1"/>
        </w:rPr>
        <w:t>of</w:t>
      </w:r>
      <w:r w:rsidRPr="6A54C549">
        <w:rPr>
          <w:noProof/>
          <w:color w:val="000000" w:themeColor="text1"/>
        </w:rPr>
        <w:t xml:space="preserve"> these National Prosecution Offices are selected based on experience and </w:t>
      </w:r>
      <w:r>
        <w:rPr>
          <w:noProof/>
          <w:color w:val="000000" w:themeColor="text1"/>
        </w:rPr>
        <w:t>knowledge of</w:t>
      </w:r>
      <w:r w:rsidRPr="747EC7B3">
        <w:rPr>
          <w:noProof/>
          <w:color w:val="000000" w:themeColor="text1"/>
        </w:rPr>
        <w:t xml:space="preserve"> the</w:t>
      </w:r>
      <w:r>
        <w:rPr>
          <w:noProof/>
          <w:color w:val="000000" w:themeColor="text1"/>
        </w:rPr>
        <w:t xml:space="preserve"> field</w:t>
      </w:r>
      <w:r w:rsidRPr="39F92319">
        <w:rPr>
          <w:noProof/>
          <w:color w:val="000000" w:themeColor="text1"/>
        </w:rPr>
        <w:t xml:space="preserve">. </w:t>
      </w:r>
      <w:r>
        <w:rPr>
          <w:noProof/>
          <w:color w:val="000000" w:themeColor="text1"/>
        </w:rPr>
        <w:t>They also benefit from dedicated specialised</w:t>
      </w:r>
      <w:r w:rsidRPr="6A54C549">
        <w:rPr>
          <w:noProof/>
          <w:color w:val="000000" w:themeColor="text1"/>
        </w:rPr>
        <w:t xml:space="preserve"> trainings</w:t>
      </w:r>
      <w:r>
        <w:rPr>
          <w:rStyle w:val="FootnoteReference"/>
          <w:noProof/>
          <w:color w:val="000000" w:themeColor="text1"/>
        </w:rPr>
        <w:footnoteReference w:id="57"/>
      </w:r>
      <w:r>
        <w:rPr>
          <w:noProof/>
          <w:color w:val="000000" w:themeColor="text1"/>
        </w:rPr>
        <w:t>.</w:t>
      </w:r>
      <w:r w:rsidRPr="6A54C549">
        <w:rPr>
          <w:noProof/>
          <w:color w:val="000000" w:themeColor="text1"/>
        </w:rPr>
        <w:t xml:space="preserve"> Changes within the National Police </w:t>
      </w:r>
      <w:r w:rsidR="002D5B71">
        <w:rPr>
          <w:noProof/>
          <w:color w:val="000000" w:themeColor="text1"/>
        </w:rPr>
        <w:t xml:space="preserve">and the </w:t>
      </w:r>
      <w:r w:rsidR="009C1B2A">
        <w:rPr>
          <w:noProof/>
          <w:color w:val="000000" w:themeColor="text1"/>
        </w:rPr>
        <w:t xml:space="preserve">National Gendarmerie </w:t>
      </w:r>
      <w:r>
        <w:rPr>
          <w:noProof/>
          <w:color w:val="000000" w:themeColor="text1"/>
        </w:rPr>
        <w:t xml:space="preserve">have </w:t>
      </w:r>
      <w:r w:rsidRPr="6A54C549">
        <w:rPr>
          <w:noProof/>
          <w:color w:val="000000" w:themeColor="text1"/>
        </w:rPr>
        <w:t>also aimed at reinforcing the fight against corruption</w:t>
      </w:r>
      <w:r>
        <w:rPr>
          <w:rStyle w:val="FootnoteReference"/>
          <w:noProof/>
          <w:color w:val="000000" w:themeColor="text1"/>
        </w:rPr>
        <w:footnoteReference w:id="58"/>
      </w:r>
      <w:r w:rsidRPr="35A71448">
        <w:rPr>
          <w:noProof/>
          <w:color w:val="000000" w:themeColor="text1"/>
        </w:rPr>
        <w:t>.</w:t>
      </w:r>
      <w:r w:rsidRPr="6F059410">
        <w:rPr>
          <w:b/>
          <w:bCs/>
          <w:noProof/>
          <w:color w:val="000000" w:themeColor="text1"/>
        </w:rPr>
        <w:t xml:space="preserve"> </w:t>
      </w:r>
      <w:r w:rsidRPr="6F059410">
        <w:rPr>
          <w:noProof/>
          <w:color w:val="000000" w:themeColor="text1"/>
        </w:rPr>
        <w:t xml:space="preserve"> </w:t>
      </w:r>
    </w:p>
    <w:p w14:paraId="297E9E7D" w14:textId="77777777" w:rsidR="00AD63B1" w:rsidRDefault="00AD63B1" w:rsidP="00AD63B1">
      <w:pPr>
        <w:rPr>
          <w:noProof/>
          <w:color w:val="000000" w:themeColor="text1"/>
          <w:lang w:val="en-IE"/>
        </w:rPr>
      </w:pPr>
      <w:r w:rsidRPr="5E9A1B69">
        <w:rPr>
          <w:b/>
          <w:bCs/>
          <w:noProof/>
          <w:color w:val="000000" w:themeColor="text1"/>
        </w:rPr>
        <w:t xml:space="preserve">The High Authority for the Transparency in Public Life has been </w:t>
      </w:r>
      <w:r>
        <w:rPr>
          <w:b/>
          <w:bCs/>
          <w:noProof/>
          <w:color w:val="000000" w:themeColor="text1"/>
        </w:rPr>
        <w:t>entrusted with new tasks.</w:t>
      </w:r>
      <w:r>
        <w:rPr>
          <w:noProof/>
          <w:color w:val="000000" w:themeColor="text1"/>
        </w:rPr>
        <w:t xml:space="preserve"> The </w:t>
      </w:r>
      <w:r w:rsidRPr="00495ED8">
        <w:rPr>
          <w:noProof/>
          <w:color w:val="000000" w:themeColor="text1"/>
        </w:rPr>
        <w:t>High Authority for the Transparency in Public Life</w:t>
      </w:r>
      <w:r>
        <w:rPr>
          <w:noProof/>
          <w:color w:val="000000" w:themeColor="text1"/>
        </w:rPr>
        <w:t xml:space="preserve"> (HATVP) c</w:t>
      </w:r>
      <w:r w:rsidRPr="4A54D1C8">
        <w:rPr>
          <w:noProof/>
          <w:color w:val="000000" w:themeColor="text1"/>
        </w:rPr>
        <w:t xml:space="preserve">ontinues </w:t>
      </w:r>
      <w:r>
        <w:rPr>
          <w:noProof/>
          <w:color w:val="000000" w:themeColor="text1"/>
        </w:rPr>
        <w:t xml:space="preserve">to </w:t>
      </w:r>
      <w:r w:rsidRPr="4A54D1C8">
        <w:rPr>
          <w:noProof/>
          <w:color w:val="000000" w:themeColor="text1"/>
        </w:rPr>
        <w:t>verify assets and interests’ declarations</w:t>
      </w:r>
      <w:r>
        <w:rPr>
          <w:noProof/>
          <w:color w:val="000000" w:themeColor="text1"/>
        </w:rPr>
        <w:t>,</w:t>
      </w:r>
      <w:r w:rsidRPr="4A54D1C8">
        <w:rPr>
          <w:noProof/>
          <w:color w:val="000000" w:themeColor="text1"/>
        </w:rPr>
        <w:t xml:space="preserve"> issu</w:t>
      </w:r>
      <w:r>
        <w:rPr>
          <w:noProof/>
          <w:color w:val="000000" w:themeColor="text1"/>
        </w:rPr>
        <w:t>e</w:t>
      </w:r>
      <w:r w:rsidRPr="4A54D1C8">
        <w:rPr>
          <w:noProof/>
          <w:color w:val="000000" w:themeColor="text1"/>
        </w:rPr>
        <w:t xml:space="preserve"> opinion</w:t>
      </w:r>
      <w:r>
        <w:rPr>
          <w:noProof/>
          <w:color w:val="000000" w:themeColor="text1"/>
        </w:rPr>
        <w:t>s</w:t>
      </w:r>
      <w:r w:rsidRPr="4A54D1C8">
        <w:rPr>
          <w:noProof/>
          <w:color w:val="000000" w:themeColor="text1"/>
        </w:rPr>
        <w:t xml:space="preserve"> on </w:t>
      </w:r>
      <w:r>
        <w:rPr>
          <w:noProof/>
          <w:color w:val="000000" w:themeColor="text1"/>
        </w:rPr>
        <w:t>issues related to revolving doors</w:t>
      </w:r>
      <w:r w:rsidRPr="3D43FBEF">
        <w:rPr>
          <w:rStyle w:val="FootnoteReference"/>
          <w:noProof/>
          <w:color w:val="000000" w:themeColor="text1"/>
        </w:rPr>
        <w:footnoteReference w:id="59"/>
      </w:r>
      <w:r>
        <w:rPr>
          <w:noProof/>
          <w:color w:val="000000" w:themeColor="text1"/>
        </w:rPr>
        <w:t>,</w:t>
      </w:r>
      <w:r w:rsidRPr="75529709">
        <w:rPr>
          <w:noProof/>
          <w:color w:val="000000" w:themeColor="text1"/>
        </w:rPr>
        <w:t xml:space="preserve"> </w:t>
      </w:r>
      <w:r>
        <w:rPr>
          <w:noProof/>
          <w:color w:val="000000" w:themeColor="text1"/>
        </w:rPr>
        <w:t xml:space="preserve">and </w:t>
      </w:r>
      <w:r w:rsidRPr="75529709">
        <w:rPr>
          <w:noProof/>
          <w:color w:val="000000" w:themeColor="text1"/>
        </w:rPr>
        <w:t>manag</w:t>
      </w:r>
      <w:r>
        <w:rPr>
          <w:noProof/>
          <w:color w:val="000000" w:themeColor="text1"/>
        </w:rPr>
        <w:t>e</w:t>
      </w:r>
      <w:r w:rsidRPr="75529709">
        <w:rPr>
          <w:noProof/>
          <w:color w:val="000000" w:themeColor="text1"/>
        </w:rPr>
        <w:t xml:space="preserve"> the </w:t>
      </w:r>
      <w:r w:rsidRPr="00F244D3">
        <w:rPr>
          <w:noProof/>
        </w:rPr>
        <w:t>Repository of</w:t>
      </w:r>
      <w:r>
        <w:rPr>
          <w:noProof/>
        </w:rPr>
        <w:t xml:space="preserve"> </w:t>
      </w:r>
      <w:r w:rsidRPr="00F244D3">
        <w:rPr>
          <w:noProof/>
        </w:rPr>
        <w:t>Interest Representatives</w:t>
      </w:r>
      <w:r w:rsidRPr="174EBC43">
        <w:rPr>
          <w:rFonts w:eastAsiaTheme="minorEastAsia"/>
          <w:noProof/>
          <w:color w:val="000000" w:themeColor="text1"/>
        </w:rPr>
        <w:t>.</w:t>
      </w:r>
      <w:r>
        <w:rPr>
          <w:rFonts w:eastAsiaTheme="minorEastAsia"/>
          <w:noProof/>
          <w:color w:val="000000" w:themeColor="text1"/>
        </w:rPr>
        <w:t xml:space="preserve"> Since October 2025, the Authority acquired new competences regarding the new Foreign Influence Repository</w:t>
      </w:r>
      <w:r>
        <w:rPr>
          <w:rStyle w:val="FootnoteReference"/>
          <w:rFonts w:eastAsiaTheme="minorEastAsia"/>
          <w:noProof/>
          <w:color w:val="000000" w:themeColor="text1"/>
        </w:rPr>
        <w:footnoteReference w:id="60"/>
      </w:r>
      <w:r>
        <w:rPr>
          <w:rFonts w:eastAsiaTheme="minorEastAsia"/>
          <w:noProof/>
          <w:color w:val="000000" w:themeColor="text1"/>
        </w:rPr>
        <w:t>.</w:t>
      </w:r>
      <w:r w:rsidRPr="174EBC43">
        <w:rPr>
          <w:rFonts w:eastAsiaTheme="minorEastAsia"/>
          <w:noProof/>
          <w:color w:val="000000" w:themeColor="text1"/>
        </w:rPr>
        <w:t xml:space="preserve"> </w:t>
      </w:r>
      <w:r w:rsidRPr="2ADF2EDB">
        <w:rPr>
          <w:rFonts w:eastAsiaTheme="minorEastAsia"/>
          <w:noProof/>
          <w:color w:val="000000" w:themeColor="text1"/>
        </w:rPr>
        <w:t>Despite past increases in resources</w:t>
      </w:r>
      <w:r>
        <w:rPr>
          <w:rStyle w:val="FootnoteReference"/>
          <w:rFonts w:eastAsiaTheme="minorEastAsia"/>
          <w:noProof/>
          <w:color w:val="000000" w:themeColor="text1"/>
        </w:rPr>
        <w:footnoteReference w:id="61"/>
      </w:r>
      <w:r>
        <w:rPr>
          <w:rFonts w:eastAsiaTheme="minorEastAsia"/>
          <w:noProof/>
          <w:color w:val="000000" w:themeColor="text1"/>
        </w:rPr>
        <w:t>, t</w:t>
      </w:r>
      <w:r w:rsidRPr="174EBC43">
        <w:rPr>
          <w:rFonts w:eastAsiaTheme="minorEastAsia"/>
          <w:noProof/>
          <w:color w:val="000000" w:themeColor="text1"/>
        </w:rPr>
        <w:t>he Authority</w:t>
      </w:r>
      <w:r>
        <w:rPr>
          <w:rFonts w:eastAsiaTheme="minorEastAsia"/>
          <w:noProof/>
          <w:color w:val="000000" w:themeColor="text1"/>
        </w:rPr>
        <w:t xml:space="preserve"> and civil society</w:t>
      </w:r>
      <w:r w:rsidRPr="174EBC43">
        <w:rPr>
          <w:rFonts w:eastAsiaTheme="minorEastAsia"/>
          <w:noProof/>
          <w:color w:val="000000" w:themeColor="text1"/>
        </w:rPr>
        <w:t xml:space="preserve"> noted that </w:t>
      </w:r>
      <w:r>
        <w:rPr>
          <w:rFonts w:eastAsiaTheme="minorEastAsia"/>
          <w:noProof/>
          <w:color w:val="000000" w:themeColor="text1"/>
        </w:rPr>
        <w:t>the current resources of the HATVP</w:t>
      </w:r>
      <w:r w:rsidRPr="174EBC43">
        <w:rPr>
          <w:rFonts w:eastAsiaTheme="minorEastAsia"/>
          <w:noProof/>
          <w:color w:val="000000" w:themeColor="text1"/>
        </w:rPr>
        <w:t xml:space="preserve"> </w:t>
      </w:r>
      <w:r>
        <w:rPr>
          <w:rFonts w:eastAsiaTheme="minorEastAsia"/>
          <w:noProof/>
          <w:color w:val="000000" w:themeColor="text1"/>
        </w:rPr>
        <w:t>constrain its ability</w:t>
      </w:r>
      <w:r w:rsidRPr="174EBC43">
        <w:rPr>
          <w:rFonts w:eastAsiaTheme="minorEastAsia"/>
          <w:noProof/>
          <w:color w:val="000000" w:themeColor="text1"/>
        </w:rPr>
        <w:t xml:space="preserve"> to satisfactorily carry out its</w:t>
      </w:r>
      <w:r>
        <w:rPr>
          <w:rFonts w:eastAsiaTheme="minorEastAsia"/>
          <w:noProof/>
          <w:color w:val="000000" w:themeColor="text1"/>
        </w:rPr>
        <w:t xml:space="preserve"> additional</w:t>
      </w:r>
      <w:r w:rsidRPr="174EBC43">
        <w:rPr>
          <w:rFonts w:eastAsiaTheme="minorEastAsia"/>
          <w:noProof/>
          <w:color w:val="000000" w:themeColor="text1"/>
        </w:rPr>
        <w:t xml:space="preserve"> tasks</w:t>
      </w:r>
      <w:r w:rsidRPr="174EBC43">
        <w:rPr>
          <w:rStyle w:val="FootnoteReference"/>
          <w:rFonts w:eastAsiaTheme="minorEastAsia"/>
          <w:noProof/>
          <w:color w:val="000000" w:themeColor="text1"/>
        </w:rPr>
        <w:footnoteReference w:id="62"/>
      </w:r>
      <w:r w:rsidRPr="174EBC43">
        <w:rPr>
          <w:rFonts w:eastAsiaTheme="minorEastAsia"/>
          <w:noProof/>
          <w:color w:val="000000" w:themeColor="text1"/>
        </w:rPr>
        <w:t xml:space="preserve">. The HATVP President </w:t>
      </w:r>
      <w:r>
        <w:rPr>
          <w:rFonts w:eastAsiaTheme="minorEastAsia"/>
          <w:noProof/>
          <w:color w:val="000000" w:themeColor="text1"/>
        </w:rPr>
        <w:t>presented on 28</w:t>
      </w:r>
      <w:r w:rsidRPr="174EBC43">
        <w:rPr>
          <w:rFonts w:eastAsiaTheme="minorEastAsia"/>
          <w:noProof/>
          <w:color w:val="000000" w:themeColor="text1"/>
        </w:rPr>
        <w:t xml:space="preserve"> May 2026, an assessment of the work of the HATVP since it was created in 2014</w:t>
      </w:r>
      <w:r w:rsidRPr="174EBC43">
        <w:rPr>
          <w:rFonts w:eastAsiaTheme="minorEastAsia"/>
          <w:noProof/>
          <w:color w:val="000000" w:themeColor="text1"/>
          <w:vertAlign w:val="superscript"/>
        </w:rPr>
        <w:footnoteReference w:id="63"/>
      </w:r>
      <w:r w:rsidRPr="174EBC43">
        <w:rPr>
          <w:rFonts w:eastAsiaTheme="minorEastAsia"/>
          <w:noProof/>
          <w:color w:val="000000" w:themeColor="text1"/>
        </w:rPr>
        <w:t xml:space="preserve">. Work is ongoing </w:t>
      </w:r>
      <w:r>
        <w:rPr>
          <w:noProof/>
          <w:color w:val="000000" w:themeColor="text1"/>
        </w:rPr>
        <w:t>on</w:t>
      </w:r>
      <w:r w:rsidRPr="25D0171C">
        <w:rPr>
          <w:noProof/>
          <w:color w:val="000000" w:themeColor="text1"/>
        </w:rPr>
        <w:t xml:space="preserve"> </w:t>
      </w:r>
      <w:r>
        <w:rPr>
          <w:noProof/>
          <w:color w:val="000000" w:themeColor="text1"/>
        </w:rPr>
        <w:t xml:space="preserve">the framework of </w:t>
      </w:r>
      <w:r w:rsidRPr="25D0171C">
        <w:rPr>
          <w:noProof/>
          <w:color w:val="000000" w:themeColor="text1"/>
        </w:rPr>
        <w:t>assets and interest declarations</w:t>
      </w:r>
      <w:r w:rsidRPr="598975F6">
        <w:rPr>
          <w:noProof/>
          <w:color w:val="000000" w:themeColor="text1"/>
          <w:vertAlign w:val="superscript"/>
        </w:rPr>
        <w:footnoteReference w:id="64"/>
      </w:r>
      <w:r w:rsidRPr="25D0171C">
        <w:rPr>
          <w:noProof/>
          <w:color w:val="000000" w:themeColor="text1"/>
        </w:rPr>
        <w:t xml:space="preserve"> </w:t>
      </w:r>
      <w:r>
        <w:rPr>
          <w:noProof/>
          <w:color w:val="000000" w:themeColor="text1"/>
        </w:rPr>
        <w:t xml:space="preserve">to </w:t>
      </w:r>
      <w:r w:rsidRPr="25D0171C">
        <w:rPr>
          <w:noProof/>
          <w:color w:val="000000" w:themeColor="text1"/>
        </w:rPr>
        <w:t>ensur</w:t>
      </w:r>
      <w:r>
        <w:rPr>
          <w:noProof/>
          <w:color w:val="000000" w:themeColor="text1"/>
        </w:rPr>
        <w:t xml:space="preserve">e </w:t>
      </w:r>
      <w:r w:rsidRPr="25D0171C">
        <w:rPr>
          <w:noProof/>
          <w:color w:val="000000" w:themeColor="text1"/>
        </w:rPr>
        <w:t xml:space="preserve">compliance with the GRECO’s recommendation on examination of the declaration of the </w:t>
      </w:r>
      <w:r>
        <w:rPr>
          <w:noProof/>
          <w:color w:val="000000" w:themeColor="text1"/>
        </w:rPr>
        <w:t xml:space="preserve">elected </w:t>
      </w:r>
      <w:r w:rsidRPr="25D0171C">
        <w:rPr>
          <w:noProof/>
          <w:color w:val="000000" w:themeColor="text1"/>
        </w:rPr>
        <w:t>presidential candidate</w:t>
      </w:r>
      <w:r w:rsidRPr="3D43FBEF">
        <w:rPr>
          <w:rStyle w:val="FootnoteReference"/>
          <w:noProof/>
          <w:color w:val="000000" w:themeColor="text1"/>
        </w:rPr>
        <w:footnoteReference w:id="65"/>
      </w:r>
      <w:r w:rsidRPr="25D0171C">
        <w:rPr>
          <w:noProof/>
          <w:color w:val="000000" w:themeColor="text1"/>
        </w:rPr>
        <w:t>, the transparency and scope of interest declaration</w:t>
      </w:r>
      <w:r w:rsidRPr="174EBC43">
        <w:rPr>
          <w:noProof/>
          <w:color w:val="000000" w:themeColor="text1"/>
        </w:rPr>
        <w:t>s</w:t>
      </w:r>
      <w:r w:rsidRPr="25D0171C">
        <w:rPr>
          <w:noProof/>
          <w:color w:val="000000" w:themeColor="text1"/>
        </w:rPr>
        <w:t xml:space="preserve"> of officials at top-executive level</w:t>
      </w:r>
      <w:r w:rsidRPr="3D43FBEF">
        <w:rPr>
          <w:rStyle w:val="FootnoteReference"/>
          <w:noProof/>
          <w:color w:val="000000" w:themeColor="text1"/>
        </w:rPr>
        <w:footnoteReference w:id="66"/>
      </w:r>
      <w:r w:rsidRPr="25D0171C">
        <w:rPr>
          <w:noProof/>
          <w:color w:val="000000" w:themeColor="text1"/>
        </w:rPr>
        <w:t xml:space="preserve"> and accessibility of assets and interest declaration</w:t>
      </w:r>
      <w:r w:rsidRPr="174EBC43">
        <w:rPr>
          <w:noProof/>
          <w:color w:val="000000" w:themeColor="text1"/>
        </w:rPr>
        <w:t>s</w:t>
      </w:r>
      <w:r w:rsidRPr="25D0171C">
        <w:rPr>
          <w:noProof/>
          <w:color w:val="000000" w:themeColor="text1"/>
        </w:rPr>
        <w:t xml:space="preserve"> of </w:t>
      </w:r>
      <w:r>
        <w:rPr>
          <w:noProof/>
          <w:color w:val="000000" w:themeColor="text1"/>
        </w:rPr>
        <w:t>m</w:t>
      </w:r>
      <w:r w:rsidRPr="25D0171C">
        <w:rPr>
          <w:noProof/>
          <w:color w:val="000000" w:themeColor="text1"/>
        </w:rPr>
        <w:t>embers of Parliament</w:t>
      </w:r>
      <w:r w:rsidRPr="3D43FBEF">
        <w:rPr>
          <w:rStyle w:val="FootnoteReference"/>
          <w:noProof/>
          <w:color w:val="000000" w:themeColor="text1"/>
        </w:rPr>
        <w:footnoteReference w:id="67"/>
      </w:r>
      <w:r w:rsidRPr="25D0171C">
        <w:rPr>
          <w:noProof/>
          <w:color w:val="000000" w:themeColor="text1"/>
        </w:rPr>
        <w:t>.</w:t>
      </w:r>
    </w:p>
    <w:p w14:paraId="7992FBD8" w14:textId="77777777" w:rsidR="00AD63B1" w:rsidRDefault="00AD63B1" w:rsidP="00AD63B1">
      <w:pPr>
        <w:spacing w:after="220"/>
        <w:rPr>
          <w:noProof/>
          <w:color w:val="000000" w:themeColor="text1"/>
        </w:rPr>
      </w:pPr>
      <w:r w:rsidRPr="174EBC43">
        <w:rPr>
          <w:b/>
          <w:bCs/>
          <w:noProof/>
          <w:color w:val="000000" w:themeColor="text1"/>
        </w:rPr>
        <w:t xml:space="preserve">Some </w:t>
      </w:r>
      <w:r>
        <w:rPr>
          <w:b/>
          <w:bCs/>
          <w:noProof/>
          <w:color w:val="000000" w:themeColor="text1"/>
        </w:rPr>
        <w:t xml:space="preserve">further </w:t>
      </w:r>
      <w:r w:rsidRPr="3D43FBEF">
        <w:rPr>
          <w:b/>
          <w:bCs/>
          <w:noProof/>
          <w:color w:val="000000" w:themeColor="text1"/>
        </w:rPr>
        <w:t xml:space="preserve">progress </w:t>
      </w:r>
      <w:r>
        <w:rPr>
          <w:b/>
          <w:bCs/>
          <w:noProof/>
          <w:color w:val="000000" w:themeColor="text1"/>
        </w:rPr>
        <w:t>has been</w:t>
      </w:r>
      <w:r w:rsidRPr="3D43FBEF">
        <w:rPr>
          <w:b/>
          <w:bCs/>
          <w:noProof/>
          <w:color w:val="000000" w:themeColor="text1"/>
        </w:rPr>
        <w:t xml:space="preserve"> </w:t>
      </w:r>
      <w:r>
        <w:rPr>
          <w:b/>
          <w:bCs/>
          <w:noProof/>
          <w:color w:val="000000" w:themeColor="text1"/>
        </w:rPr>
        <w:t>made</w:t>
      </w:r>
      <w:r w:rsidRPr="3D43FBEF">
        <w:rPr>
          <w:b/>
          <w:bCs/>
          <w:noProof/>
          <w:color w:val="000000" w:themeColor="text1"/>
        </w:rPr>
        <w:t xml:space="preserve"> regarding the </w:t>
      </w:r>
      <w:r w:rsidRPr="5E9A1B69">
        <w:rPr>
          <w:b/>
          <w:bCs/>
          <w:noProof/>
          <w:color w:val="000000" w:themeColor="text1"/>
        </w:rPr>
        <w:t xml:space="preserve">recommendation </w:t>
      </w:r>
      <w:r w:rsidRPr="3D43FBEF">
        <w:rPr>
          <w:b/>
          <w:bCs/>
          <w:noProof/>
          <w:color w:val="000000" w:themeColor="text1"/>
        </w:rPr>
        <w:t>on lobbying</w:t>
      </w:r>
      <w:r>
        <w:rPr>
          <w:b/>
          <w:bCs/>
          <w:noProof/>
          <w:color w:val="000000" w:themeColor="text1"/>
        </w:rPr>
        <w:t>,</w:t>
      </w:r>
      <w:r w:rsidRPr="00CA1CB8">
        <w:rPr>
          <w:noProof/>
        </w:rPr>
        <w:t xml:space="preserve"> </w:t>
      </w:r>
      <w:r w:rsidRPr="00CA1CB8">
        <w:rPr>
          <w:b/>
          <w:bCs/>
          <w:noProof/>
          <w:color w:val="000000" w:themeColor="text1"/>
        </w:rPr>
        <w:t xml:space="preserve">in particular through the strengthening of the </w:t>
      </w:r>
      <w:r w:rsidRPr="00E65340">
        <w:rPr>
          <w:b/>
          <w:bCs/>
          <w:noProof/>
          <w:color w:val="000000" w:themeColor="text1"/>
        </w:rPr>
        <w:t xml:space="preserve">transparency framework on foreign influence activities, while other draft laws remain under discussion in </w:t>
      </w:r>
      <w:r>
        <w:rPr>
          <w:b/>
          <w:bCs/>
          <w:noProof/>
          <w:color w:val="000000" w:themeColor="text1"/>
        </w:rPr>
        <w:t xml:space="preserve">the </w:t>
      </w:r>
      <w:r w:rsidRPr="00E65340">
        <w:rPr>
          <w:b/>
          <w:bCs/>
          <w:noProof/>
          <w:color w:val="000000" w:themeColor="text1"/>
        </w:rPr>
        <w:t>Parliament and disclosure requirements do not apply to officials at top-executive level</w:t>
      </w:r>
      <w:r w:rsidRPr="00E65340">
        <w:rPr>
          <w:b/>
          <w:bCs/>
          <w:noProof/>
          <w:color w:val="000000" w:themeColor="text1"/>
          <w:vertAlign w:val="superscript"/>
        </w:rPr>
        <w:footnoteReference w:id="68"/>
      </w:r>
      <w:r w:rsidRPr="00E65340">
        <w:rPr>
          <w:b/>
          <w:bCs/>
          <w:noProof/>
          <w:color w:val="000000" w:themeColor="text1"/>
        </w:rPr>
        <w:t xml:space="preserve">. </w:t>
      </w:r>
      <w:r w:rsidRPr="00E65340">
        <w:rPr>
          <w:noProof/>
          <w:color w:val="000000" w:themeColor="text1"/>
        </w:rPr>
        <w:t>The decree</w:t>
      </w:r>
      <w:r w:rsidRPr="00E65340">
        <w:rPr>
          <w:rStyle w:val="FootnoteReference"/>
          <w:noProof/>
          <w:color w:val="000000" w:themeColor="text1"/>
        </w:rPr>
        <w:footnoteReference w:id="69"/>
      </w:r>
      <w:r w:rsidRPr="00E65340">
        <w:rPr>
          <w:noProof/>
          <w:color w:val="000000" w:themeColor="text1"/>
        </w:rPr>
        <w:t xml:space="preserve"> related to the implementation of the 2024 law on</w:t>
      </w:r>
      <w:r w:rsidRPr="00E65340">
        <w:rPr>
          <w:b/>
          <w:bCs/>
          <w:noProof/>
          <w:color w:val="000000" w:themeColor="text1"/>
        </w:rPr>
        <w:t xml:space="preserve"> </w:t>
      </w:r>
      <w:r w:rsidRPr="00E65340">
        <w:rPr>
          <w:noProof/>
          <w:color w:val="000000" w:themeColor="text1"/>
        </w:rPr>
        <w:t>the prevention of foreign interference</w:t>
      </w:r>
      <w:r>
        <w:rPr>
          <w:rStyle w:val="FootnoteReference"/>
          <w:noProof/>
          <w:color w:val="000000" w:themeColor="text1"/>
        </w:rPr>
        <w:footnoteReference w:id="70"/>
      </w:r>
      <w:r w:rsidRPr="3D43FBEF">
        <w:rPr>
          <w:noProof/>
          <w:color w:val="000000" w:themeColor="text1"/>
        </w:rPr>
        <w:t xml:space="preserve"> entered into force in October 2025</w:t>
      </w:r>
      <w:r>
        <w:rPr>
          <w:rStyle w:val="FootnoteReference"/>
          <w:noProof/>
          <w:color w:val="000000" w:themeColor="text1"/>
        </w:rPr>
        <w:footnoteReference w:id="71"/>
      </w:r>
      <w:r w:rsidRPr="3D43FBEF">
        <w:rPr>
          <w:noProof/>
          <w:color w:val="000000" w:themeColor="text1"/>
        </w:rPr>
        <w:t xml:space="preserve">. </w:t>
      </w:r>
      <w:r>
        <w:rPr>
          <w:noProof/>
          <w:color w:val="000000" w:themeColor="text1"/>
        </w:rPr>
        <w:t>It</w:t>
      </w:r>
      <w:r w:rsidRPr="3D43FBEF">
        <w:rPr>
          <w:noProof/>
          <w:color w:val="000000" w:themeColor="text1"/>
        </w:rPr>
        <w:t xml:space="preserve"> provides for the creation of a Foreign Influence Repository</w:t>
      </w:r>
      <w:r>
        <w:rPr>
          <w:noProof/>
          <w:color w:val="000000" w:themeColor="text1"/>
        </w:rPr>
        <w:t xml:space="preserve"> managed by the HATVP. </w:t>
      </w:r>
      <w:r w:rsidRPr="3D43FBEF">
        <w:rPr>
          <w:noProof/>
          <w:color w:val="000000" w:themeColor="text1"/>
        </w:rPr>
        <w:t>Since October 2025, persons</w:t>
      </w:r>
      <w:r w:rsidRPr="53B795E3">
        <w:rPr>
          <w:noProof/>
          <w:color w:val="000000" w:themeColor="text1"/>
        </w:rPr>
        <w:t xml:space="preserve"> carrying out </w:t>
      </w:r>
      <w:r w:rsidRPr="00764ACD">
        <w:rPr>
          <w:noProof/>
          <w:color w:val="000000" w:themeColor="text1"/>
        </w:rPr>
        <w:t>lobbying</w:t>
      </w:r>
      <w:r w:rsidRPr="53B795E3">
        <w:rPr>
          <w:noProof/>
          <w:color w:val="000000" w:themeColor="text1"/>
        </w:rPr>
        <w:t xml:space="preserve"> activities </w:t>
      </w:r>
      <w:r>
        <w:rPr>
          <w:noProof/>
          <w:color w:val="000000" w:themeColor="text1"/>
        </w:rPr>
        <w:t xml:space="preserve">on behalf of foreign entities are required to be registered </w:t>
      </w:r>
      <w:r w:rsidRPr="00F244D3">
        <w:rPr>
          <w:noProof/>
        </w:rPr>
        <w:t>in the Foreign Influence Repository</w:t>
      </w:r>
      <w:r w:rsidRPr="3D43FBEF">
        <w:rPr>
          <w:rStyle w:val="FootnoteReference"/>
          <w:noProof/>
          <w:color w:val="000000" w:themeColor="text1"/>
        </w:rPr>
        <w:footnoteReference w:id="72"/>
      </w:r>
      <w:r>
        <w:rPr>
          <w:noProof/>
          <w:color w:val="000000" w:themeColor="text1"/>
        </w:rPr>
        <w:t>. As of</w:t>
      </w:r>
      <w:r w:rsidRPr="3D43FBEF">
        <w:rPr>
          <w:noProof/>
          <w:color w:val="000000" w:themeColor="text1"/>
        </w:rPr>
        <w:t xml:space="preserve"> 1 January 2026, </w:t>
      </w:r>
      <w:r w:rsidRPr="00F244D3">
        <w:rPr>
          <w:noProof/>
        </w:rPr>
        <w:t>those persons must declare their activities every three months.</w:t>
      </w:r>
      <w:r w:rsidRPr="00E46AE1">
        <w:rPr>
          <w:noProof/>
        </w:rPr>
        <w:t xml:space="preserve"> </w:t>
      </w:r>
      <w:r w:rsidRPr="00F244D3">
        <w:rPr>
          <w:noProof/>
        </w:rPr>
        <w:t xml:space="preserve">This </w:t>
      </w:r>
      <w:r>
        <w:rPr>
          <w:noProof/>
        </w:rPr>
        <w:t xml:space="preserve">repository exists besides the </w:t>
      </w:r>
      <w:r w:rsidRPr="00F244D3">
        <w:rPr>
          <w:noProof/>
        </w:rPr>
        <w:t>Repository</w:t>
      </w:r>
      <w:r>
        <w:rPr>
          <w:noProof/>
        </w:rPr>
        <w:t xml:space="preserve"> of </w:t>
      </w:r>
      <w:r w:rsidRPr="00F244D3">
        <w:rPr>
          <w:noProof/>
        </w:rPr>
        <w:t>Interests Representatives </w:t>
      </w:r>
      <w:r w:rsidRPr="3D43FBEF">
        <w:rPr>
          <w:noProof/>
          <w:color w:val="000000" w:themeColor="text1"/>
        </w:rPr>
        <w:t xml:space="preserve">that has been in place since 2017. </w:t>
      </w:r>
      <w:r w:rsidRPr="53B795E3">
        <w:rPr>
          <w:noProof/>
          <w:color w:val="000000" w:themeColor="text1"/>
        </w:rPr>
        <w:t>Both chambers of Parliament are</w:t>
      </w:r>
      <w:r>
        <w:rPr>
          <w:noProof/>
          <w:color w:val="000000" w:themeColor="text1"/>
        </w:rPr>
        <w:t xml:space="preserve"> </w:t>
      </w:r>
      <w:r w:rsidRPr="53B795E3">
        <w:rPr>
          <w:noProof/>
          <w:color w:val="000000" w:themeColor="text1"/>
        </w:rPr>
        <w:t xml:space="preserve">actively working on </w:t>
      </w:r>
      <w:r w:rsidRPr="51B2D96D">
        <w:rPr>
          <w:noProof/>
          <w:color w:val="000000" w:themeColor="text1"/>
        </w:rPr>
        <w:t xml:space="preserve">training activities </w:t>
      </w:r>
      <w:r>
        <w:rPr>
          <w:noProof/>
          <w:color w:val="000000" w:themeColor="text1"/>
        </w:rPr>
        <w:t>to raise awareness among their members on</w:t>
      </w:r>
      <w:r w:rsidRPr="51B2D96D">
        <w:rPr>
          <w:noProof/>
          <w:color w:val="000000" w:themeColor="text1"/>
        </w:rPr>
        <w:t xml:space="preserve"> the law </w:t>
      </w:r>
      <w:r w:rsidRPr="005D50C7">
        <w:rPr>
          <w:noProof/>
          <w:color w:val="000000" w:themeColor="text1"/>
        </w:rPr>
        <w:t>on the prevention of</w:t>
      </w:r>
      <w:r w:rsidRPr="51B2D96D">
        <w:rPr>
          <w:noProof/>
          <w:color w:val="000000" w:themeColor="text1"/>
        </w:rPr>
        <w:t xml:space="preserve"> </w:t>
      </w:r>
      <w:r w:rsidRPr="3D43FBEF">
        <w:rPr>
          <w:noProof/>
          <w:color w:val="000000" w:themeColor="text1"/>
        </w:rPr>
        <w:t>foreign interference</w:t>
      </w:r>
      <w:r>
        <w:rPr>
          <w:rStyle w:val="FootnoteReference"/>
          <w:noProof/>
          <w:color w:val="000000" w:themeColor="text1"/>
        </w:rPr>
        <w:footnoteReference w:id="73"/>
      </w:r>
      <w:r>
        <w:rPr>
          <w:noProof/>
          <w:color w:val="000000" w:themeColor="text1"/>
        </w:rPr>
        <w:t>. The</w:t>
      </w:r>
      <w:r w:rsidRPr="3D43FBEF" w:rsidDel="005A041B">
        <w:rPr>
          <w:noProof/>
          <w:color w:val="000000" w:themeColor="text1"/>
        </w:rPr>
        <w:t xml:space="preserve"> draft law</w:t>
      </w:r>
      <w:r>
        <w:rPr>
          <w:noProof/>
          <w:color w:val="000000" w:themeColor="text1"/>
        </w:rPr>
        <w:t>s</w:t>
      </w:r>
      <w:r w:rsidRPr="3D43FBEF" w:rsidDel="005A041B">
        <w:rPr>
          <w:noProof/>
          <w:color w:val="000000" w:themeColor="text1"/>
        </w:rPr>
        <w:t xml:space="preserve"> on </w:t>
      </w:r>
      <w:r w:rsidRPr="3D43FBEF">
        <w:rPr>
          <w:noProof/>
          <w:color w:val="000000" w:themeColor="text1"/>
        </w:rPr>
        <w:t xml:space="preserve">the </w:t>
      </w:r>
      <w:r w:rsidRPr="5E9A1B69">
        <w:rPr>
          <w:noProof/>
          <w:color w:val="000000" w:themeColor="text1"/>
        </w:rPr>
        <w:t>transparency of interests’ representatives</w:t>
      </w:r>
      <w:r>
        <w:rPr>
          <w:rStyle w:val="FootnoteReference"/>
          <w:noProof/>
          <w:color w:val="000000" w:themeColor="text1"/>
        </w:rPr>
        <w:footnoteReference w:id="74"/>
      </w:r>
      <w:r>
        <w:rPr>
          <w:noProof/>
          <w:color w:val="000000" w:themeColor="text1"/>
        </w:rPr>
        <w:t xml:space="preserve"> filed in 2023 have not</w:t>
      </w:r>
      <w:r w:rsidRPr="5E9A1B69">
        <w:rPr>
          <w:noProof/>
          <w:color w:val="000000" w:themeColor="text1"/>
        </w:rPr>
        <w:t xml:space="preserve"> been </w:t>
      </w:r>
      <w:r>
        <w:rPr>
          <w:noProof/>
          <w:color w:val="000000" w:themeColor="text1"/>
        </w:rPr>
        <w:t>further discussed, while a new proposal</w:t>
      </w:r>
      <w:r w:rsidRPr="174EBC43">
        <w:rPr>
          <w:noProof/>
          <w:color w:val="000000" w:themeColor="text1"/>
        </w:rPr>
        <w:t xml:space="preserve"> on that topic</w:t>
      </w:r>
      <w:r>
        <w:rPr>
          <w:rStyle w:val="FootnoteReference"/>
          <w:noProof/>
          <w:color w:val="000000" w:themeColor="text1"/>
        </w:rPr>
        <w:footnoteReference w:id="75"/>
      </w:r>
      <w:r w:rsidRPr="2113C08D">
        <w:rPr>
          <w:noProof/>
          <w:color w:val="000000" w:themeColor="text1"/>
        </w:rPr>
        <w:t xml:space="preserve"> </w:t>
      </w:r>
      <w:r w:rsidRPr="5E9A1B69">
        <w:rPr>
          <w:noProof/>
          <w:color w:val="000000" w:themeColor="text1"/>
        </w:rPr>
        <w:t>has been filed at the National Assembly.</w:t>
      </w:r>
      <w:r w:rsidRPr="48FACCB2">
        <w:rPr>
          <w:noProof/>
        </w:rPr>
        <w:t xml:space="preserve"> </w:t>
      </w:r>
      <w:r>
        <w:rPr>
          <w:noProof/>
        </w:rPr>
        <w:t xml:space="preserve"> </w:t>
      </w:r>
      <w:r w:rsidRPr="3D43FBEF">
        <w:rPr>
          <w:noProof/>
          <w:color w:val="000000" w:themeColor="text1"/>
        </w:rPr>
        <w:t>The</w:t>
      </w:r>
      <w:r>
        <w:rPr>
          <w:noProof/>
          <w:color w:val="000000" w:themeColor="text1"/>
        </w:rPr>
        <w:t xml:space="preserve"> scope of declaration obligation has been extended with the creation of the Foreign Influence Repository but </w:t>
      </w:r>
      <w:r w:rsidRPr="5E9A1B69">
        <w:rPr>
          <w:noProof/>
          <w:color w:val="000000" w:themeColor="text1"/>
        </w:rPr>
        <w:t>disclosure requirements</w:t>
      </w:r>
      <w:r w:rsidRPr="35A71448">
        <w:rPr>
          <w:noProof/>
          <w:color w:val="000000" w:themeColor="text1"/>
        </w:rPr>
        <w:t xml:space="preserve"> </w:t>
      </w:r>
      <w:r w:rsidRPr="51B2D96D">
        <w:rPr>
          <w:noProof/>
          <w:color w:val="000000" w:themeColor="text1"/>
        </w:rPr>
        <w:t>in both reposi</w:t>
      </w:r>
      <w:r>
        <w:rPr>
          <w:noProof/>
          <w:color w:val="000000" w:themeColor="text1"/>
        </w:rPr>
        <w:t>t</w:t>
      </w:r>
      <w:r w:rsidRPr="51B2D96D">
        <w:rPr>
          <w:noProof/>
          <w:color w:val="000000" w:themeColor="text1"/>
        </w:rPr>
        <w:t xml:space="preserve">ories </w:t>
      </w:r>
      <w:r w:rsidRPr="48FACCB2">
        <w:rPr>
          <w:noProof/>
          <w:color w:val="000000" w:themeColor="text1"/>
        </w:rPr>
        <w:t xml:space="preserve">continue to apply to interest representatives only and </w:t>
      </w:r>
      <w:r>
        <w:rPr>
          <w:noProof/>
          <w:color w:val="000000" w:themeColor="text1"/>
        </w:rPr>
        <w:t>not</w:t>
      </w:r>
      <w:r w:rsidRPr="48FACCB2">
        <w:rPr>
          <w:noProof/>
          <w:color w:val="000000" w:themeColor="text1"/>
        </w:rPr>
        <w:t xml:space="preserve"> to officials at top-executive level or to Members of the Parliament</w:t>
      </w:r>
      <w:r>
        <w:rPr>
          <w:noProof/>
          <w:color w:val="000000" w:themeColor="text1"/>
        </w:rPr>
        <w:t xml:space="preserve">. On this basis, </w:t>
      </w:r>
      <w:r w:rsidRPr="174EBC43">
        <w:rPr>
          <w:noProof/>
          <w:color w:val="000000" w:themeColor="text1"/>
        </w:rPr>
        <w:t xml:space="preserve">some </w:t>
      </w:r>
      <w:r>
        <w:rPr>
          <w:noProof/>
          <w:color w:val="000000" w:themeColor="text1"/>
        </w:rPr>
        <w:t xml:space="preserve">further </w:t>
      </w:r>
      <w:r w:rsidRPr="5E9A1B69">
        <w:rPr>
          <w:noProof/>
          <w:color w:val="000000" w:themeColor="text1"/>
        </w:rPr>
        <w:t>progress ha</w:t>
      </w:r>
      <w:r>
        <w:rPr>
          <w:noProof/>
          <w:color w:val="000000" w:themeColor="text1"/>
        </w:rPr>
        <w:t>s</w:t>
      </w:r>
      <w:r w:rsidRPr="5E9A1B69">
        <w:rPr>
          <w:noProof/>
          <w:color w:val="000000" w:themeColor="text1"/>
        </w:rPr>
        <w:t xml:space="preserve"> been made in relation to the recommendation.</w:t>
      </w:r>
    </w:p>
    <w:p w14:paraId="16D496E4" w14:textId="77777777" w:rsidR="00AD63B1" w:rsidRDefault="00AD63B1" w:rsidP="00AD63B1">
      <w:pPr>
        <w:spacing w:after="220"/>
        <w:rPr>
          <w:noProof/>
          <w:color w:val="000000" w:themeColor="text1"/>
          <w:lang w:val="en-IE"/>
        </w:rPr>
      </w:pPr>
      <w:r w:rsidRPr="3D43FBEF">
        <w:rPr>
          <w:b/>
          <w:bCs/>
          <w:noProof/>
          <w:color w:val="000000" w:themeColor="text1"/>
        </w:rPr>
        <w:t>Measures continue to be implemented to reinforce the ethics culture within the Government, Parliament and the</w:t>
      </w:r>
      <w:r>
        <w:rPr>
          <w:b/>
          <w:bCs/>
          <w:noProof/>
          <w:color w:val="000000" w:themeColor="text1"/>
        </w:rPr>
        <w:t>ir</w:t>
      </w:r>
      <w:r w:rsidRPr="3D43FBEF">
        <w:rPr>
          <w:b/>
          <w:bCs/>
          <w:noProof/>
          <w:color w:val="000000" w:themeColor="text1"/>
        </w:rPr>
        <w:t xml:space="preserve"> staff. </w:t>
      </w:r>
      <w:r w:rsidRPr="3D43FBEF">
        <w:rPr>
          <w:noProof/>
          <w:color w:val="000000" w:themeColor="text1"/>
        </w:rPr>
        <w:t>An ethics guide for Presiden</w:t>
      </w:r>
      <w:r w:rsidRPr="52E4A893">
        <w:rPr>
          <w:noProof/>
          <w:color w:val="000000" w:themeColor="text1"/>
        </w:rPr>
        <w:t>tial</w:t>
      </w:r>
      <w:r w:rsidRPr="3D43FBEF">
        <w:rPr>
          <w:noProof/>
          <w:color w:val="000000" w:themeColor="text1"/>
        </w:rPr>
        <w:t xml:space="preserve"> staff</w:t>
      </w:r>
      <w:r w:rsidRPr="53B795E3">
        <w:rPr>
          <w:rStyle w:val="FootnoteReference"/>
          <w:noProof/>
          <w:color w:val="000000" w:themeColor="text1"/>
        </w:rPr>
        <w:footnoteReference w:id="76"/>
      </w:r>
      <w:r w:rsidRPr="53B795E3">
        <w:rPr>
          <w:rStyle w:val="FootnoteReference"/>
          <w:noProof/>
          <w:color w:val="000000" w:themeColor="text1"/>
        </w:rPr>
        <w:t xml:space="preserve"> </w:t>
      </w:r>
      <w:r w:rsidRPr="3D43FBEF">
        <w:rPr>
          <w:noProof/>
          <w:color w:val="000000" w:themeColor="text1"/>
        </w:rPr>
        <w:t>was published in October 2025</w:t>
      </w:r>
      <w:r w:rsidRPr="52E4A893">
        <w:rPr>
          <w:noProof/>
          <w:color w:val="000000" w:themeColor="text1"/>
        </w:rPr>
        <w:t>. An</w:t>
      </w:r>
      <w:r w:rsidRPr="3D43FBEF">
        <w:rPr>
          <w:noProof/>
          <w:color w:val="000000" w:themeColor="text1"/>
        </w:rPr>
        <w:t xml:space="preserve"> ethics contact point </w:t>
      </w:r>
      <w:r w:rsidRPr="52E4A893">
        <w:rPr>
          <w:noProof/>
          <w:color w:val="000000" w:themeColor="text1"/>
        </w:rPr>
        <w:t>was</w:t>
      </w:r>
      <w:r w:rsidRPr="3D43FBEF">
        <w:rPr>
          <w:noProof/>
          <w:color w:val="000000" w:themeColor="text1"/>
        </w:rPr>
        <w:t xml:space="preserve"> appointed</w:t>
      </w:r>
      <w:r>
        <w:rPr>
          <w:noProof/>
          <w:color w:val="000000" w:themeColor="text1"/>
        </w:rPr>
        <w:t xml:space="preserve">, </w:t>
      </w:r>
      <w:r w:rsidRPr="48FACCB2">
        <w:rPr>
          <w:noProof/>
          <w:color w:val="000000" w:themeColor="text1"/>
        </w:rPr>
        <w:t>awareness raising activities as well as training sessions were organised. The Senate also adopted</w:t>
      </w:r>
      <w:r>
        <w:rPr>
          <w:noProof/>
          <w:color w:val="000000" w:themeColor="text1"/>
        </w:rPr>
        <w:t xml:space="preserve"> and published</w:t>
      </w:r>
      <w:r w:rsidRPr="48FACCB2">
        <w:rPr>
          <w:noProof/>
          <w:color w:val="000000" w:themeColor="text1"/>
        </w:rPr>
        <w:t xml:space="preserve"> a new ethics guide in view of </w:t>
      </w:r>
      <w:r>
        <w:rPr>
          <w:noProof/>
          <w:color w:val="000000" w:themeColor="text1"/>
        </w:rPr>
        <w:t xml:space="preserve">its </w:t>
      </w:r>
      <w:r w:rsidRPr="48FACCB2">
        <w:rPr>
          <w:noProof/>
          <w:color w:val="000000" w:themeColor="text1"/>
        </w:rPr>
        <w:t>partial renewal</w:t>
      </w:r>
      <w:r>
        <w:rPr>
          <w:noProof/>
          <w:color w:val="000000" w:themeColor="text1"/>
        </w:rPr>
        <w:t xml:space="preserve">, </w:t>
      </w:r>
      <w:r w:rsidRPr="48FACCB2">
        <w:rPr>
          <w:noProof/>
          <w:color w:val="000000" w:themeColor="text1"/>
        </w:rPr>
        <w:t>tak</w:t>
      </w:r>
      <w:r>
        <w:rPr>
          <w:noProof/>
          <w:color w:val="000000" w:themeColor="text1"/>
        </w:rPr>
        <w:t>ing</w:t>
      </w:r>
      <w:r w:rsidRPr="48FACCB2">
        <w:rPr>
          <w:noProof/>
          <w:color w:val="000000" w:themeColor="text1"/>
        </w:rPr>
        <w:t xml:space="preserve"> place in September 2026</w:t>
      </w:r>
      <w:r>
        <w:rPr>
          <w:rStyle w:val="FootnoteReference"/>
          <w:noProof/>
          <w:color w:val="000000" w:themeColor="text1"/>
        </w:rPr>
        <w:footnoteReference w:id="77"/>
      </w:r>
      <w:r w:rsidRPr="48FACCB2">
        <w:rPr>
          <w:noProof/>
          <w:color w:val="000000" w:themeColor="text1"/>
        </w:rPr>
        <w:t xml:space="preserve">. The National Assembly updated its ethics guide to include changes related to the extension of the competence of the ethics contact point in matters </w:t>
      </w:r>
      <w:r>
        <w:rPr>
          <w:noProof/>
          <w:color w:val="000000" w:themeColor="text1"/>
        </w:rPr>
        <w:t>related to</w:t>
      </w:r>
      <w:r w:rsidRPr="48FACCB2">
        <w:rPr>
          <w:noProof/>
          <w:color w:val="000000" w:themeColor="text1"/>
        </w:rPr>
        <w:t xml:space="preserve"> control of political party financing</w:t>
      </w:r>
      <w:r>
        <w:rPr>
          <w:rStyle w:val="FootnoteReference"/>
          <w:noProof/>
          <w:color w:val="000000" w:themeColor="text1"/>
        </w:rPr>
        <w:footnoteReference w:id="78"/>
      </w:r>
      <w:r w:rsidRPr="48FACCB2">
        <w:rPr>
          <w:noProof/>
          <w:color w:val="000000" w:themeColor="text1"/>
        </w:rPr>
        <w:t xml:space="preserve">. The Ethics Offices of both Chambers of the Parliament report an increased </w:t>
      </w:r>
      <w:r w:rsidRPr="5E9A1B69">
        <w:rPr>
          <w:noProof/>
          <w:color w:val="000000" w:themeColor="text1"/>
        </w:rPr>
        <w:t xml:space="preserve">awareness </w:t>
      </w:r>
      <w:r w:rsidRPr="3D43FBEF">
        <w:rPr>
          <w:noProof/>
          <w:color w:val="000000" w:themeColor="text1"/>
        </w:rPr>
        <w:t xml:space="preserve">of </w:t>
      </w:r>
      <w:r w:rsidRPr="5E9A1B69">
        <w:rPr>
          <w:noProof/>
          <w:color w:val="000000" w:themeColor="text1"/>
        </w:rPr>
        <w:t xml:space="preserve">ethic-related </w:t>
      </w:r>
      <w:r w:rsidRPr="3D43FBEF">
        <w:rPr>
          <w:noProof/>
          <w:color w:val="000000" w:themeColor="text1"/>
        </w:rPr>
        <w:t>matter</w:t>
      </w:r>
      <w:r>
        <w:rPr>
          <w:noProof/>
          <w:color w:val="000000" w:themeColor="text1"/>
        </w:rPr>
        <w:t>s</w:t>
      </w:r>
      <w:r w:rsidRPr="3D43FBEF">
        <w:rPr>
          <w:noProof/>
          <w:color w:val="000000" w:themeColor="text1"/>
        </w:rPr>
        <w:t xml:space="preserve"> by their </w:t>
      </w:r>
      <w:r>
        <w:rPr>
          <w:noProof/>
          <w:color w:val="000000" w:themeColor="text1"/>
        </w:rPr>
        <w:t>m</w:t>
      </w:r>
      <w:r w:rsidRPr="3D43FBEF">
        <w:rPr>
          <w:noProof/>
          <w:color w:val="000000" w:themeColor="text1"/>
        </w:rPr>
        <w:t>embers</w:t>
      </w:r>
      <w:r>
        <w:rPr>
          <w:rStyle w:val="FootnoteReference"/>
          <w:noProof/>
          <w:color w:val="000000" w:themeColor="text1"/>
        </w:rPr>
        <w:footnoteReference w:id="79"/>
      </w:r>
      <w:r w:rsidRPr="3D43FBEF">
        <w:rPr>
          <w:noProof/>
          <w:color w:val="000000" w:themeColor="text1"/>
        </w:rPr>
        <w:t xml:space="preserve">. </w:t>
      </w:r>
      <w:r w:rsidRPr="60A4E7B2">
        <w:rPr>
          <w:noProof/>
          <w:color w:val="000000" w:themeColor="text1"/>
        </w:rPr>
        <w:t>Concerning political party financing, TRACFIN, a French Financial Intelligence Service</w:t>
      </w:r>
      <w:r>
        <w:rPr>
          <w:noProof/>
          <w:color w:val="000000" w:themeColor="text1"/>
        </w:rPr>
        <w:t>,</w:t>
      </w:r>
      <w:r w:rsidRPr="60A4E7B2">
        <w:rPr>
          <w:noProof/>
          <w:color w:val="000000" w:themeColor="text1"/>
        </w:rPr>
        <w:t xml:space="preserve"> can now send information to the National Commission on Campaign Accounts and Political Financing (CNCCFP) that allow better information sharing on financial flows</w:t>
      </w:r>
      <w:r>
        <w:rPr>
          <w:rStyle w:val="FootnoteReference"/>
          <w:noProof/>
          <w:color w:val="000000" w:themeColor="text1"/>
        </w:rPr>
        <w:footnoteReference w:id="80"/>
      </w:r>
      <w:r w:rsidRPr="60A4E7B2">
        <w:rPr>
          <w:noProof/>
          <w:color w:val="000000" w:themeColor="text1"/>
        </w:rPr>
        <w:t>.</w:t>
      </w:r>
      <w:r w:rsidRPr="3D43FBEF">
        <w:rPr>
          <w:noProof/>
          <w:color w:val="000000" w:themeColor="text1"/>
        </w:rPr>
        <w:t xml:space="preserve"> </w:t>
      </w:r>
    </w:p>
    <w:p w14:paraId="74AD6165" w14:textId="77777777" w:rsidR="00AD63B1" w:rsidRPr="000027AC" w:rsidRDefault="00AD63B1" w:rsidP="00AD63B1">
      <w:pPr>
        <w:spacing w:after="220"/>
        <w:rPr>
          <w:noProof/>
          <w:color w:val="000000" w:themeColor="text1"/>
        </w:rPr>
      </w:pPr>
      <w:r w:rsidRPr="3D43FBEF">
        <w:rPr>
          <w:b/>
          <w:bCs/>
          <w:noProof/>
          <w:color w:val="000000" w:themeColor="text1"/>
        </w:rPr>
        <w:t xml:space="preserve">The integrity frameworks for police officers and magistrates are being further reinforced. </w:t>
      </w:r>
      <w:r w:rsidRPr="3D43FBEF">
        <w:rPr>
          <w:noProof/>
          <w:color w:val="000000" w:themeColor="text1"/>
        </w:rPr>
        <w:t xml:space="preserve">The general inspectorate for the national police (IGPN) and the general inspectorate for the national “gendarmerie” (IGGN) are preparing a strategy or action </w:t>
      </w:r>
      <w:r>
        <w:rPr>
          <w:noProof/>
          <w:color w:val="000000" w:themeColor="text1"/>
        </w:rPr>
        <w:t xml:space="preserve">plan </w:t>
      </w:r>
      <w:r w:rsidRPr="3D43FBEF">
        <w:rPr>
          <w:noProof/>
          <w:color w:val="000000" w:themeColor="text1"/>
        </w:rPr>
        <w:t>for fighting corruption in their respective field</w:t>
      </w:r>
      <w:r>
        <w:rPr>
          <w:noProof/>
          <w:color w:val="000000" w:themeColor="text1"/>
        </w:rPr>
        <w:t>s</w:t>
      </w:r>
      <w:r w:rsidRPr="3D43FBEF">
        <w:rPr>
          <w:rStyle w:val="FootnoteReference"/>
          <w:noProof/>
          <w:color w:val="000000" w:themeColor="text1"/>
        </w:rPr>
        <w:footnoteReference w:id="81"/>
      </w:r>
      <w:r w:rsidRPr="3D43FBEF">
        <w:rPr>
          <w:noProof/>
          <w:color w:val="000000" w:themeColor="text1"/>
        </w:rPr>
        <w:t xml:space="preserve">. They have introduced ethics contact points who </w:t>
      </w:r>
      <w:r>
        <w:rPr>
          <w:noProof/>
          <w:color w:val="000000" w:themeColor="text1"/>
        </w:rPr>
        <w:t xml:space="preserve">play a preventive </w:t>
      </w:r>
      <w:r w:rsidRPr="52E4A893">
        <w:rPr>
          <w:noProof/>
          <w:color w:val="000000" w:themeColor="text1"/>
        </w:rPr>
        <w:t>rol</w:t>
      </w:r>
      <w:r>
        <w:rPr>
          <w:noProof/>
          <w:color w:val="000000" w:themeColor="text1"/>
        </w:rPr>
        <w:t xml:space="preserve">e </w:t>
      </w:r>
      <w:r w:rsidRPr="3D43FBEF">
        <w:rPr>
          <w:noProof/>
          <w:color w:val="000000" w:themeColor="text1"/>
        </w:rPr>
        <w:t>and follow-up o</w:t>
      </w:r>
      <w:r w:rsidRPr="52E4A893">
        <w:rPr>
          <w:noProof/>
          <w:color w:val="000000" w:themeColor="text1"/>
        </w:rPr>
        <w:t>n</w:t>
      </w:r>
      <w:r w:rsidRPr="3D43FBEF">
        <w:rPr>
          <w:noProof/>
          <w:color w:val="000000" w:themeColor="text1"/>
        </w:rPr>
        <w:t xml:space="preserve"> cases of non-compliance with </w:t>
      </w:r>
      <w:r>
        <w:rPr>
          <w:noProof/>
          <w:color w:val="000000" w:themeColor="text1"/>
        </w:rPr>
        <w:t>professional ethics rules</w:t>
      </w:r>
      <w:r w:rsidRPr="3D43FBEF">
        <w:rPr>
          <w:rStyle w:val="FootnoteReference"/>
          <w:noProof/>
          <w:color w:val="000000" w:themeColor="text1"/>
        </w:rPr>
        <w:footnoteReference w:id="82"/>
      </w:r>
      <w:r w:rsidRPr="3D43FBEF">
        <w:rPr>
          <w:noProof/>
          <w:color w:val="000000" w:themeColor="text1"/>
        </w:rPr>
        <w:t xml:space="preserve">. </w:t>
      </w:r>
      <w:r w:rsidRPr="002B603C">
        <w:rPr>
          <w:noProof/>
          <w:color w:val="000000" w:themeColor="text1"/>
        </w:rPr>
        <w:t xml:space="preserve">The </w:t>
      </w:r>
      <w:r>
        <w:rPr>
          <w:noProof/>
          <w:color w:val="000000" w:themeColor="text1"/>
        </w:rPr>
        <w:t>HCJ</w:t>
      </w:r>
      <w:r w:rsidRPr="002B603C">
        <w:rPr>
          <w:noProof/>
          <w:color w:val="000000" w:themeColor="text1"/>
        </w:rPr>
        <w:t xml:space="preserve"> published the Ethics Charter for Magistrates of the Judiciary </w:t>
      </w:r>
      <w:r>
        <w:rPr>
          <w:noProof/>
          <w:color w:val="000000" w:themeColor="text1"/>
        </w:rPr>
        <w:t>reaffirming</w:t>
      </w:r>
      <w:r w:rsidRPr="002B603C">
        <w:rPr>
          <w:noProof/>
          <w:color w:val="000000" w:themeColor="text1"/>
        </w:rPr>
        <w:t xml:space="preserve"> existing ethic</w:t>
      </w:r>
      <w:r>
        <w:rPr>
          <w:noProof/>
          <w:color w:val="000000" w:themeColor="text1"/>
        </w:rPr>
        <w:t>al</w:t>
      </w:r>
      <w:r w:rsidRPr="002B603C">
        <w:rPr>
          <w:noProof/>
          <w:color w:val="000000" w:themeColor="text1"/>
        </w:rPr>
        <w:t xml:space="preserve"> principles</w:t>
      </w:r>
      <w:r>
        <w:rPr>
          <w:noProof/>
          <w:color w:val="000000" w:themeColor="text1"/>
        </w:rPr>
        <w:t xml:space="preserve"> </w:t>
      </w:r>
      <w:r w:rsidRPr="00AA3242">
        <w:rPr>
          <w:noProof/>
          <w:color w:val="000000" w:themeColor="text1"/>
        </w:rPr>
        <w:t>and presenting them in a more structured and guiding form</w:t>
      </w:r>
      <w:r w:rsidRPr="002B603C">
        <w:rPr>
          <w:rStyle w:val="FootnoteReference"/>
          <w:noProof/>
          <w:color w:val="000000" w:themeColor="text1"/>
        </w:rPr>
        <w:footnoteReference w:id="83"/>
      </w:r>
      <w:r w:rsidRPr="002B603C">
        <w:rPr>
          <w:noProof/>
          <w:color w:val="000000" w:themeColor="text1"/>
        </w:rPr>
        <w:t>.</w:t>
      </w:r>
      <w:r w:rsidRPr="3D43FBEF">
        <w:rPr>
          <w:noProof/>
          <w:color w:val="000000" w:themeColor="text1"/>
        </w:rPr>
        <w:t xml:space="preserve"> </w:t>
      </w:r>
      <w:r w:rsidRPr="0009027C">
        <w:rPr>
          <w:noProof/>
          <w:color w:val="000000" w:themeColor="text1"/>
        </w:rPr>
        <w:t>Requests for ethical counselling addressed by judges to their ethics support service (SAVD) continued to increase</w:t>
      </w:r>
      <w:r w:rsidRPr="0009027C">
        <w:rPr>
          <w:rStyle w:val="FootnoteReference"/>
          <w:noProof/>
          <w:color w:val="000000" w:themeColor="text1"/>
        </w:rPr>
        <w:footnoteReference w:id="84"/>
      </w:r>
      <w:r w:rsidRPr="0009027C">
        <w:rPr>
          <w:noProof/>
          <w:color w:val="000000" w:themeColor="text1"/>
        </w:rPr>
        <w:t>.</w:t>
      </w:r>
    </w:p>
    <w:p w14:paraId="3A7E6537" w14:textId="4EDB3807" w:rsidR="00AD63B1" w:rsidRPr="00DF3BE9" w:rsidRDefault="00AD63B1" w:rsidP="00AD63B1">
      <w:pPr>
        <w:spacing w:after="220"/>
        <w:rPr>
          <w:b/>
          <w:bCs/>
          <w:noProof/>
          <w:color w:val="000000" w:themeColor="text1"/>
        </w:rPr>
      </w:pPr>
      <w:r w:rsidRPr="3D43FBEF">
        <w:rPr>
          <w:b/>
          <w:bCs/>
          <w:noProof/>
          <w:color w:val="000000" w:themeColor="text1"/>
        </w:rPr>
        <w:t>The framework for the protection of whistleblowers remains robust</w:t>
      </w:r>
      <w:r>
        <w:rPr>
          <w:b/>
          <w:bCs/>
          <w:noProof/>
          <w:color w:val="000000" w:themeColor="text1"/>
        </w:rPr>
        <w:t xml:space="preserve">, </w:t>
      </w:r>
      <w:r w:rsidR="002152B8">
        <w:rPr>
          <w:b/>
          <w:bCs/>
          <w:noProof/>
          <w:color w:val="000000" w:themeColor="text1"/>
        </w:rPr>
        <w:t>while</w:t>
      </w:r>
      <w:r w:rsidR="002152B8" w:rsidRPr="00A64381">
        <w:rPr>
          <w:b/>
          <w:bCs/>
          <w:noProof/>
          <w:color w:val="000000" w:themeColor="text1"/>
        </w:rPr>
        <w:t xml:space="preserve"> the</w:t>
      </w:r>
      <w:r>
        <w:rPr>
          <w:b/>
          <w:bCs/>
          <w:noProof/>
          <w:color w:val="000000" w:themeColor="text1"/>
        </w:rPr>
        <w:t xml:space="preserve"> increase of</w:t>
      </w:r>
      <w:r w:rsidRPr="00A64381">
        <w:rPr>
          <w:b/>
          <w:bCs/>
          <w:noProof/>
          <w:color w:val="000000" w:themeColor="text1"/>
        </w:rPr>
        <w:t xml:space="preserve"> report</w:t>
      </w:r>
      <w:r>
        <w:rPr>
          <w:b/>
          <w:bCs/>
          <w:noProof/>
          <w:color w:val="000000" w:themeColor="text1"/>
        </w:rPr>
        <w:t>s represents a challenge in terms of</w:t>
      </w:r>
      <w:r w:rsidRPr="00A64381">
        <w:rPr>
          <w:b/>
          <w:bCs/>
          <w:noProof/>
          <w:color w:val="000000" w:themeColor="text1"/>
        </w:rPr>
        <w:t> resources</w:t>
      </w:r>
      <w:r>
        <w:rPr>
          <w:b/>
          <w:bCs/>
          <w:noProof/>
          <w:color w:val="000000" w:themeColor="text1"/>
        </w:rPr>
        <w:t xml:space="preserve"> needed to ensure their follow-up</w:t>
      </w:r>
      <w:r w:rsidRPr="3D43FBEF">
        <w:rPr>
          <w:b/>
          <w:bCs/>
          <w:noProof/>
          <w:color w:val="000000" w:themeColor="text1"/>
        </w:rPr>
        <w:t>.</w:t>
      </w:r>
      <w:r w:rsidRPr="3D43FBEF">
        <w:rPr>
          <w:noProof/>
          <w:color w:val="000000" w:themeColor="text1"/>
        </w:rPr>
        <w:t xml:space="preserve"> Measure 14 of the National Anticorruption Plan refers to better familiarising all national administration staff with whistleblowing systems and mentions </w:t>
      </w:r>
      <w:r>
        <w:rPr>
          <w:noProof/>
          <w:color w:val="000000" w:themeColor="text1"/>
        </w:rPr>
        <w:t xml:space="preserve">awareness raising </w:t>
      </w:r>
      <w:r w:rsidRPr="3D43FBEF">
        <w:rPr>
          <w:noProof/>
          <w:color w:val="000000" w:themeColor="text1"/>
        </w:rPr>
        <w:t>and training as possible implementation tool</w:t>
      </w:r>
      <w:r>
        <w:rPr>
          <w:noProof/>
          <w:color w:val="000000" w:themeColor="text1"/>
        </w:rPr>
        <w:t>s</w:t>
      </w:r>
      <w:r w:rsidRPr="3D43FBEF">
        <w:rPr>
          <w:noProof/>
          <w:color w:val="000000" w:themeColor="text1"/>
        </w:rPr>
        <w:t xml:space="preserve"> of the measure. On 8 December 2025, the AFA organised a symposium </w:t>
      </w:r>
      <w:r>
        <w:rPr>
          <w:noProof/>
          <w:color w:val="000000" w:themeColor="text1"/>
        </w:rPr>
        <w:t xml:space="preserve">focussing on </w:t>
      </w:r>
      <w:r w:rsidRPr="3D43FBEF">
        <w:rPr>
          <w:noProof/>
          <w:color w:val="000000" w:themeColor="text1"/>
        </w:rPr>
        <w:t xml:space="preserve">how to </w:t>
      </w:r>
      <w:r w:rsidRPr="52E4A893">
        <w:rPr>
          <w:noProof/>
          <w:color w:val="000000" w:themeColor="text1"/>
        </w:rPr>
        <w:t>tackle</w:t>
      </w:r>
      <w:r w:rsidRPr="3D43FBEF">
        <w:rPr>
          <w:noProof/>
          <w:color w:val="000000" w:themeColor="text1"/>
        </w:rPr>
        <w:t xml:space="preserve"> the </w:t>
      </w:r>
      <w:r>
        <w:rPr>
          <w:noProof/>
          <w:color w:val="000000" w:themeColor="text1"/>
        </w:rPr>
        <w:t>steady</w:t>
      </w:r>
      <w:r w:rsidRPr="3D43FBEF">
        <w:rPr>
          <w:noProof/>
          <w:color w:val="000000" w:themeColor="text1"/>
        </w:rPr>
        <w:t xml:space="preserve"> increase </w:t>
      </w:r>
      <w:r>
        <w:rPr>
          <w:noProof/>
          <w:color w:val="000000" w:themeColor="text1"/>
        </w:rPr>
        <w:t>in</w:t>
      </w:r>
      <w:r w:rsidRPr="3D43FBEF">
        <w:rPr>
          <w:noProof/>
          <w:color w:val="000000" w:themeColor="text1"/>
        </w:rPr>
        <w:t xml:space="preserve"> the number of alerts and </w:t>
      </w:r>
      <w:r>
        <w:rPr>
          <w:noProof/>
          <w:color w:val="000000" w:themeColor="text1"/>
        </w:rPr>
        <w:t xml:space="preserve">on </w:t>
      </w:r>
      <w:r w:rsidRPr="3D43FBEF">
        <w:rPr>
          <w:noProof/>
          <w:color w:val="000000" w:themeColor="text1"/>
        </w:rPr>
        <w:t xml:space="preserve">how to ensure the protection of whistleblowers. It was underlined that the legislation provides for a sound legal framework for the collection and handling of alerts </w:t>
      </w:r>
      <w:r>
        <w:rPr>
          <w:noProof/>
          <w:color w:val="000000" w:themeColor="text1"/>
        </w:rPr>
        <w:t>while</w:t>
      </w:r>
      <w:r w:rsidRPr="3D43FBEF">
        <w:rPr>
          <w:noProof/>
          <w:color w:val="000000" w:themeColor="text1"/>
        </w:rPr>
        <w:t xml:space="preserve"> national administrations and their staff must </w:t>
      </w:r>
      <w:r>
        <w:rPr>
          <w:noProof/>
          <w:color w:val="000000" w:themeColor="text1"/>
        </w:rPr>
        <w:t>be better trained</w:t>
      </w:r>
      <w:r w:rsidRPr="3D43FBEF">
        <w:rPr>
          <w:rStyle w:val="FootnoteReference"/>
          <w:noProof/>
          <w:color w:val="000000" w:themeColor="text1"/>
        </w:rPr>
        <w:footnoteReference w:id="85"/>
      </w:r>
      <w:r w:rsidRPr="3D43FBEF">
        <w:rPr>
          <w:noProof/>
          <w:color w:val="000000" w:themeColor="text1"/>
        </w:rPr>
        <w:t xml:space="preserve">. </w:t>
      </w:r>
      <w:r>
        <w:rPr>
          <w:noProof/>
          <w:color w:val="000000" w:themeColor="text1"/>
        </w:rPr>
        <w:t>T</w:t>
      </w:r>
      <w:r w:rsidRPr="3D43FBEF">
        <w:rPr>
          <w:noProof/>
          <w:color w:val="000000" w:themeColor="text1"/>
        </w:rPr>
        <w:t>he number of whistleblowers reports increase</w:t>
      </w:r>
      <w:r>
        <w:rPr>
          <w:noProof/>
          <w:color w:val="000000" w:themeColor="text1"/>
        </w:rPr>
        <w:t>d significantly</w:t>
      </w:r>
      <w:r w:rsidRPr="3D43FBEF">
        <w:rPr>
          <w:noProof/>
          <w:color w:val="000000" w:themeColor="text1"/>
        </w:rPr>
        <w:t>.</w:t>
      </w:r>
      <w:r w:rsidRPr="3D43FBEF">
        <w:rPr>
          <w:b/>
          <w:bCs/>
          <w:noProof/>
          <w:color w:val="000000" w:themeColor="text1"/>
        </w:rPr>
        <w:t xml:space="preserve"> </w:t>
      </w:r>
      <w:r>
        <w:rPr>
          <w:noProof/>
          <w:color w:val="000000" w:themeColor="text1"/>
        </w:rPr>
        <w:t>T</w:t>
      </w:r>
      <w:r w:rsidRPr="3D43FBEF">
        <w:rPr>
          <w:noProof/>
          <w:color w:val="000000" w:themeColor="text1"/>
        </w:rPr>
        <w:t xml:space="preserve">he number of whistleblowing reports received by the Defender of Rights (Defender) almost </w:t>
      </w:r>
      <w:r>
        <w:rPr>
          <w:noProof/>
          <w:color w:val="000000" w:themeColor="text1"/>
        </w:rPr>
        <w:t>doubled</w:t>
      </w:r>
      <w:r w:rsidRPr="3D43FBEF">
        <w:rPr>
          <w:rStyle w:val="FootnoteReference"/>
          <w:noProof/>
          <w:color w:val="000000" w:themeColor="text1"/>
        </w:rPr>
        <w:footnoteReference w:id="86"/>
      </w:r>
      <w:r w:rsidRPr="3D43FBEF">
        <w:rPr>
          <w:noProof/>
          <w:color w:val="000000" w:themeColor="text1"/>
        </w:rPr>
        <w:t xml:space="preserve">. </w:t>
      </w:r>
      <w:r w:rsidRPr="003F5A6D">
        <w:rPr>
          <w:noProof/>
          <w:color w:val="000000" w:themeColor="text1"/>
        </w:rPr>
        <w:t>Given the high number of alerts, the Defender and CSOs emphasi</w:t>
      </w:r>
      <w:r>
        <w:rPr>
          <w:noProof/>
          <w:color w:val="000000" w:themeColor="text1"/>
        </w:rPr>
        <w:t>z</w:t>
      </w:r>
      <w:r w:rsidRPr="003F5A6D">
        <w:rPr>
          <w:noProof/>
          <w:color w:val="000000" w:themeColor="text1"/>
        </w:rPr>
        <w:t xml:space="preserve">e that more </w:t>
      </w:r>
      <w:r>
        <w:rPr>
          <w:noProof/>
          <w:color w:val="000000" w:themeColor="text1"/>
        </w:rPr>
        <w:t>financial resources</w:t>
      </w:r>
      <w:r w:rsidRPr="003F5A6D">
        <w:rPr>
          <w:noProof/>
          <w:color w:val="000000" w:themeColor="text1"/>
        </w:rPr>
        <w:t xml:space="preserve"> are needed to ensure the continuous well-functioning of the whistleblower framework</w:t>
      </w:r>
      <w:r w:rsidRPr="3D43FBEF">
        <w:rPr>
          <w:rStyle w:val="FootnoteReference"/>
          <w:noProof/>
          <w:color w:val="000000" w:themeColor="text1"/>
        </w:rPr>
        <w:footnoteReference w:id="87"/>
      </w:r>
      <w:r w:rsidRPr="3D43FBEF">
        <w:rPr>
          <w:noProof/>
          <w:color w:val="000000" w:themeColor="text1"/>
        </w:rPr>
        <w:t xml:space="preserve">. </w:t>
      </w:r>
    </w:p>
    <w:p w14:paraId="1DFDBCD5" w14:textId="7B09BDF1" w:rsidR="00AD63B1" w:rsidRDefault="00AD63B1" w:rsidP="00AD63B1">
      <w:pPr>
        <w:spacing w:after="220"/>
        <w:rPr>
          <w:noProof/>
          <w:color w:val="000000" w:themeColor="text1"/>
          <w:lang w:val="en-IE"/>
        </w:rPr>
      </w:pPr>
      <w:r>
        <w:rPr>
          <w:b/>
          <w:bCs/>
          <w:noProof/>
          <w:color w:val="000000" w:themeColor="text1"/>
        </w:rPr>
        <w:t>As regards high risk areas for corruption, t</w:t>
      </w:r>
      <w:r w:rsidRPr="3D43FBEF">
        <w:rPr>
          <w:b/>
          <w:bCs/>
          <w:noProof/>
          <w:color w:val="000000" w:themeColor="text1"/>
        </w:rPr>
        <w:t xml:space="preserve">he law </w:t>
      </w:r>
      <w:r>
        <w:rPr>
          <w:b/>
          <w:bCs/>
          <w:noProof/>
          <w:color w:val="000000" w:themeColor="text1"/>
        </w:rPr>
        <w:t>o</w:t>
      </w:r>
      <w:r w:rsidRPr="3D43FBEF">
        <w:rPr>
          <w:b/>
          <w:bCs/>
          <w:noProof/>
          <w:color w:val="000000" w:themeColor="text1"/>
        </w:rPr>
        <w:t xml:space="preserve">n Anti-Narcotics and Organised Crime </w:t>
      </w:r>
      <w:r>
        <w:rPr>
          <w:b/>
          <w:bCs/>
          <w:noProof/>
          <w:color w:val="000000" w:themeColor="text1"/>
        </w:rPr>
        <w:t xml:space="preserve">that </w:t>
      </w:r>
      <w:r w:rsidRPr="3D43FBEF">
        <w:rPr>
          <w:b/>
          <w:bCs/>
          <w:noProof/>
          <w:color w:val="000000" w:themeColor="text1"/>
        </w:rPr>
        <w:t>introduced several measures aimed at reinforcing the fight against corruption when linked to organised crime</w:t>
      </w:r>
      <w:r>
        <w:rPr>
          <w:b/>
          <w:bCs/>
          <w:noProof/>
          <w:color w:val="000000" w:themeColor="text1"/>
        </w:rPr>
        <w:t xml:space="preserve">, </w:t>
      </w:r>
      <w:r w:rsidR="00CF11F6">
        <w:rPr>
          <w:b/>
          <w:bCs/>
          <w:noProof/>
          <w:color w:val="000000" w:themeColor="text1"/>
        </w:rPr>
        <w:t>is being implemented</w:t>
      </w:r>
      <w:r w:rsidRPr="3D43FBEF">
        <w:rPr>
          <w:b/>
          <w:bCs/>
          <w:noProof/>
          <w:color w:val="000000" w:themeColor="text1"/>
        </w:rPr>
        <w:t xml:space="preserve">. </w:t>
      </w:r>
      <w:r w:rsidRPr="00690588">
        <w:rPr>
          <w:noProof/>
          <w:color w:val="000000" w:themeColor="text1"/>
        </w:rPr>
        <w:t xml:space="preserve">Businesses’ attitudes towards corruption in the EU shows </w:t>
      </w:r>
      <w:r w:rsidRPr="00784EE9">
        <w:rPr>
          <w:noProof/>
          <w:color w:val="000000" w:themeColor="text1"/>
        </w:rPr>
        <w:t xml:space="preserve">that 47% of companies in France (EU average </w:t>
      </w:r>
      <w:r w:rsidRPr="005874C0">
        <w:rPr>
          <w:noProof/>
          <w:color w:val="000000" w:themeColor="text1"/>
        </w:rPr>
        <w:t>37%</w:t>
      </w:r>
      <w:r w:rsidRPr="00784EE9">
        <w:rPr>
          <w:noProof/>
          <w:color w:val="000000" w:themeColor="text1"/>
        </w:rPr>
        <w:t>)</w:t>
      </w:r>
      <w:r w:rsidRPr="00690588">
        <w:rPr>
          <w:noProof/>
          <w:color w:val="000000" w:themeColor="text1"/>
        </w:rPr>
        <w:t xml:space="preserve"> think that corruption is a problem when doing business and </w:t>
      </w:r>
      <w:r w:rsidRPr="000620E0">
        <w:rPr>
          <w:noProof/>
          <w:color w:val="000000" w:themeColor="text1"/>
        </w:rPr>
        <w:t>26% of</w:t>
      </w:r>
      <w:r w:rsidRPr="00690588">
        <w:rPr>
          <w:noProof/>
          <w:color w:val="000000" w:themeColor="text1"/>
        </w:rPr>
        <w:t xml:space="preserve"> companies (EU average </w:t>
      </w:r>
      <w:r w:rsidRPr="000620E0">
        <w:rPr>
          <w:noProof/>
          <w:color w:val="000000" w:themeColor="text1"/>
        </w:rPr>
        <w:t>30%)</w:t>
      </w:r>
      <w:r w:rsidRPr="00690588">
        <w:rPr>
          <w:noProof/>
          <w:color w:val="000000" w:themeColor="text1"/>
        </w:rPr>
        <w:t xml:space="preserve"> think that corruption has prevented them from winning a public tender in practice in the last three </w:t>
      </w:r>
      <w:r w:rsidRPr="00C93F38">
        <w:rPr>
          <w:noProof/>
          <w:color w:val="000000" w:themeColor="text1"/>
        </w:rPr>
        <w:t>years</w:t>
      </w:r>
      <w:r w:rsidRPr="00C93F38">
        <w:rPr>
          <w:rStyle w:val="FootnoteReference"/>
          <w:noProof/>
          <w:color w:val="000000" w:themeColor="text1"/>
        </w:rPr>
        <w:footnoteReference w:id="88"/>
      </w:r>
      <w:r w:rsidRPr="00C93F38">
        <w:rPr>
          <w:noProof/>
          <w:color w:val="000000" w:themeColor="text1"/>
        </w:rPr>
        <w:t xml:space="preserve">. </w:t>
      </w:r>
      <w:r w:rsidRPr="005874C0">
        <w:rPr>
          <w:noProof/>
          <w:color w:val="000000" w:themeColor="text1"/>
        </w:rPr>
        <w:t>62%</w:t>
      </w:r>
      <w:r w:rsidRPr="00C93F38">
        <w:rPr>
          <w:noProof/>
          <w:color w:val="000000" w:themeColor="text1"/>
        </w:rPr>
        <w:t xml:space="preserve"> of companies</w:t>
      </w:r>
      <w:r w:rsidRPr="00690588">
        <w:rPr>
          <w:noProof/>
          <w:color w:val="000000" w:themeColor="text1"/>
        </w:rPr>
        <w:t xml:space="preserve"> perceive the level of independence of the public procurement review bod</w:t>
      </w:r>
      <w:r>
        <w:rPr>
          <w:noProof/>
          <w:color w:val="000000" w:themeColor="text1"/>
        </w:rPr>
        <w:t>ies</w:t>
      </w:r>
      <w:r w:rsidRPr="00690588">
        <w:rPr>
          <w:noProof/>
          <w:color w:val="000000" w:themeColor="text1"/>
        </w:rPr>
        <w:t xml:space="preserve"> (the regular courts) as very or fairly </w:t>
      </w:r>
      <w:r w:rsidRPr="00C93F38">
        <w:rPr>
          <w:noProof/>
          <w:color w:val="000000" w:themeColor="text1"/>
        </w:rPr>
        <w:t>good</w:t>
      </w:r>
      <w:r w:rsidRPr="00784EE9">
        <w:rPr>
          <w:rStyle w:val="FootnoteReference"/>
          <w:noProof/>
          <w:color w:val="000000" w:themeColor="text1"/>
        </w:rPr>
        <w:footnoteReference w:id="89"/>
      </w:r>
      <w:r w:rsidRPr="00784EE9">
        <w:rPr>
          <w:noProof/>
          <w:color w:val="000000" w:themeColor="text1"/>
        </w:rPr>
        <w:t>.</w:t>
      </w:r>
      <w:r w:rsidRPr="00C93F38">
        <w:rPr>
          <w:noProof/>
          <w:color w:val="000000" w:themeColor="text1"/>
        </w:rPr>
        <w:t xml:space="preserve"> The</w:t>
      </w:r>
      <w:r w:rsidRPr="00690588">
        <w:rPr>
          <w:noProof/>
          <w:color w:val="000000" w:themeColor="text1"/>
        </w:rPr>
        <w:t xml:space="preserve"> Single Market and Competitiveness Scoreboard on access to public procurement in France reports </w:t>
      </w:r>
      <w:r w:rsidRPr="000620E0">
        <w:rPr>
          <w:noProof/>
          <w:color w:val="000000" w:themeColor="text1"/>
        </w:rPr>
        <w:t xml:space="preserve">19% of single bids for 2023 (EU average </w:t>
      </w:r>
      <w:r w:rsidRPr="005874C0">
        <w:rPr>
          <w:noProof/>
          <w:color w:val="000000" w:themeColor="text1"/>
        </w:rPr>
        <w:t>27</w:t>
      </w:r>
      <w:r>
        <w:rPr>
          <w:noProof/>
          <w:color w:val="000000" w:themeColor="text1"/>
        </w:rPr>
        <w:t>%). The fight against corruption linked to organised crime figures prominently in the National Anticorruption Plan</w:t>
      </w:r>
      <w:r>
        <w:rPr>
          <w:rStyle w:val="FootnoteReference"/>
          <w:noProof/>
          <w:color w:val="000000" w:themeColor="text1"/>
        </w:rPr>
        <w:footnoteReference w:id="90"/>
      </w:r>
      <w:r w:rsidRPr="005874C0">
        <w:rPr>
          <w:noProof/>
          <w:color w:val="000000" w:themeColor="text1"/>
        </w:rPr>
        <w:t>.</w:t>
      </w:r>
      <w:r w:rsidRPr="000620E0">
        <w:rPr>
          <w:noProof/>
          <w:color w:val="000000" w:themeColor="text1"/>
        </w:rPr>
        <w:t xml:space="preserve"> </w:t>
      </w:r>
      <w:r>
        <w:rPr>
          <w:noProof/>
          <w:color w:val="000000" w:themeColor="text1"/>
        </w:rPr>
        <w:t>Measures related to bolster</w:t>
      </w:r>
      <w:r w:rsidRPr="174EBC43">
        <w:rPr>
          <w:noProof/>
          <w:color w:val="000000" w:themeColor="text1"/>
        </w:rPr>
        <w:t>ing</w:t>
      </w:r>
      <w:r>
        <w:rPr>
          <w:noProof/>
          <w:color w:val="000000" w:themeColor="text1"/>
        </w:rPr>
        <w:t xml:space="preserve"> the fight against corruption linked to organised crime</w:t>
      </w:r>
      <w:r w:rsidRPr="3D43FBEF">
        <w:rPr>
          <w:noProof/>
          <w:color w:val="000000" w:themeColor="text1"/>
        </w:rPr>
        <w:t xml:space="preserve"> include a compulsory mapping of the risks for public actors in the fight against narcotraffic and in high risks areas such as ports and airports</w:t>
      </w:r>
      <w:r>
        <w:rPr>
          <w:noProof/>
          <w:color w:val="000000" w:themeColor="text1"/>
        </w:rPr>
        <w:t>,</w:t>
      </w:r>
      <w:r w:rsidRPr="3D43FBEF">
        <w:rPr>
          <w:noProof/>
          <w:color w:val="000000" w:themeColor="text1"/>
        </w:rPr>
        <w:t xml:space="preserve"> </w:t>
      </w:r>
      <w:r w:rsidRPr="003F5923">
        <w:rPr>
          <w:noProof/>
          <w:color w:val="000000" w:themeColor="text1"/>
        </w:rPr>
        <w:t>as well as targeted anti-corruption training for security officers operating in those areas</w:t>
      </w:r>
      <w:r w:rsidRPr="00690588">
        <w:rPr>
          <w:noProof/>
          <w:color w:val="000000" w:themeColor="text1"/>
        </w:rPr>
        <w:t xml:space="preserve">. </w:t>
      </w:r>
      <w:r>
        <w:rPr>
          <w:noProof/>
          <w:color w:val="000000" w:themeColor="text1"/>
        </w:rPr>
        <w:t>Public procurement also remains a sector exposed to high corruption risks and therefore constitutes another focus area of the</w:t>
      </w:r>
      <w:r w:rsidRPr="00690588">
        <w:rPr>
          <w:noProof/>
          <w:color w:val="000000" w:themeColor="text1"/>
        </w:rPr>
        <w:t xml:space="preserve"> </w:t>
      </w:r>
      <w:r>
        <w:rPr>
          <w:noProof/>
          <w:color w:val="000000" w:themeColor="text1"/>
        </w:rPr>
        <w:t>national p</w:t>
      </w:r>
      <w:r w:rsidRPr="00690588">
        <w:rPr>
          <w:noProof/>
          <w:color w:val="000000" w:themeColor="text1"/>
        </w:rPr>
        <w:t>lan</w:t>
      </w:r>
      <w:r>
        <w:rPr>
          <w:noProof/>
          <w:color w:val="000000" w:themeColor="text1"/>
        </w:rPr>
        <w:t>. M</w:t>
      </w:r>
      <w:r w:rsidRPr="00690588">
        <w:rPr>
          <w:noProof/>
          <w:color w:val="000000" w:themeColor="text1"/>
        </w:rPr>
        <w:t>easures</w:t>
      </w:r>
      <w:r>
        <w:rPr>
          <w:noProof/>
          <w:color w:val="000000" w:themeColor="text1"/>
        </w:rPr>
        <w:t xml:space="preserve"> primarily target</w:t>
      </w:r>
      <w:r w:rsidRPr="00690588">
        <w:rPr>
          <w:noProof/>
          <w:color w:val="000000" w:themeColor="text1"/>
        </w:rPr>
        <w:t xml:space="preserve"> prevention</w:t>
      </w:r>
      <w:r>
        <w:rPr>
          <w:noProof/>
          <w:color w:val="000000" w:themeColor="text1"/>
        </w:rPr>
        <w:t>, notably</w:t>
      </w:r>
      <w:r w:rsidRPr="00690588">
        <w:rPr>
          <w:noProof/>
          <w:color w:val="000000" w:themeColor="text1"/>
        </w:rPr>
        <w:t xml:space="preserve"> through training of public officials</w:t>
      </w:r>
      <w:r w:rsidR="00164826">
        <w:rPr>
          <w:noProof/>
          <w:color w:val="000000" w:themeColor="text1"/>
        </w:rPr>
        <w:t>, law enforcement</w:t>
      </w:r>
      <w:r w:rsidRPr="00690588">
        <w:rPr>
          <w:noProof/>
          <w:color w:val="000000" w:themeColor="text1"/>
        </w:rPr>
        <w:t xml:space="preserve"> and financial experts</w:t>
      </w:r>
      <w:r>
        <w:rPr>
          <w:noProof/>
          <w:color w:val="000000" w:themeColor="text1"/>
        </w:rPr>
        <w:t>,</w:t>
      </w:r>
      <w:r w:rsidRPr="00690588">
        <w:rPr>
          <w:noProof/>
          <w:color w:val="000000" w:themeColor="text1"/>
        </w:rPr>
        <w:t xml:space="preserve"> as well as support for the</w:t>
      </w:r>
      <w:r w:rsidRPr="3D43FBEF">
        <w:rPr>
          <w:noProof/>
          <w:color w:val="000000" w:themeColor="text1"/>
        </w:rPr>
        <w:t xml:space="preserve"> implementation of anti-corruption frameworks for private companies</w:t>
      </w:r>
      <w:r w:rsidRPr="3D43FBEF">
        <w:rPr>
          <w:rStyle w:val="FootnoteReference"/>
          <w:noProof/>
          <w:color w:val="000000" w:themeColor="text1"/>
        </w:rPr>
        <w:footnoteReference w:id="91"/>
      </w:r>
      <w:r w:rsidRPr="3D43FBEF">
        <w:rPr>
          <w:noProof/>
          <w:color w:val="000000" w:themeColor="text1"/>
        </w:rPr>
        <w:t xml:space="preserve">. </w:t>
      </w:r>
      <w:r>
        <w:rPr>
          <w:noProof/>
          <w:color w:val="000000" w:themeColor="text1"/>
        </w:rPr>
        <w:t>A</w:t>
      </w:r>
      <w:r w:rsidRPr="3D43FBEF">
        <w:rPr>
          <w:noProof/>
          <w:color w:val="000000" w:themeColor="text1"/>
        </w:rPr>
        <w:t xml:space="preserve"> decree adopted in December 2025</w:t>
      </w:r>
      <w:r w:rsidRPr="3D43FBEF">
        <w:rPr>
          <w:rStyle w:val="FootnoteReference"/>
          <w:noProof/>
          <w:color w:val="000000" w:themeColor="text1"/>
        </w:rPr>
        <w:footnoteReference w:id="92"/>
      </w:r>
      <w:r w:rsidRPr="3D43FBEF">
        <w:rPr>
          <w:noProof/>
          <w:color w:val="000000" w:themeColor="text1"/>
        </w:rPr>
        <w:t xml:space="preserve"> increased the threshold for exemption from advertising and competitive tendering for supplies and services</w:t>
      </w:r>
      <w:r w:rsidRPr="3D43FBEF">
        <w:rPr>
          <w:rStyle w:val="FootnoteReference"/>
          <w:noProof/>
          <w:color w:val="000000" w:themeColor="text1"/>
        </w:rPr>
        <w:footnoteReference w:id="93"/>
      </w:r>
      <w:r w:rsidRPr="3D43FBEF">
        <w:rPr>
          <w:noProof/>
          <w:color w:val="000000" w:themeColor="text1"/>
        </w:rPr>
        <w:t xml:space="preserve"> as well as for works</w:t>
      </w:r>
      <w:r w:rsidRPr="3D43FBEF">
        <w:rPr>
          <w:rStyle w:val="FootnoteReference"/>
          <w:noProof/>
          <w:color w:val="000000" w:themeColor="text1"/>
        </w:rPr>
        <w:footnoteReference w:id="94"/>
      </w:r>
      <w:r w:rsidRPr="3D43FBEF">
        <w:rPr>
          <w:noProof/>
          <w:color w:val="000000" w:themeColor="text1"/>
        </w:rPr>
        <w:t>, limiting the spendings by public authorities subject to publicity and transparent competition</w:t>
      </w:r>
      <w:r w:rsidRPr="3D43FBEF">
        <w:rPr>
          <w:rStyle w:val="FootnoteReference"/>
          <w:noProof/>
          <w:color w:val="000000" w:themeColor="text1"/>
        </w:rPr>
        <w:footnoteReference w:id="95"/>
      </w:r>
      <w:r w:rsidRPr="3D43FBEF">
        <w:rPr>
          <w:noProof/>
          <w:color w:val="000000" w:themeColor="text1"/>
        </w:rPr>
        <w:t>. Those contracts are nonetheless still subject to the fundamental principles of public procurement, in particular, freedom of access to public procurement, equal treatment of candidates and transparency</w:t>
      </w:r>
      <w:r>
        <w:rPr>
          <w:rStyle w:val="FootnoteReference"/>
          <w:noProof/>
          <w:color w:val="000000" w:themeColor="text1"/>
        </w:rPr>
        <w:footnoteReference w:id="96"/>
      </w:r>
      <w:r w:rsidRPr="3D43FBEF">
        <w:rPr>
          <w:noProof/>
          <w:color w:val="000000" w:themeColor="text1"/>
        </w:rPr>
        <w:t>.</w:t>
      </w:r>
    </w:p>
    <w:p w14:paraId="2A4206A8" w14:textId="77777777" w:rsidR="00AD63B1" w:rsidRPr="00AD63B1" w:rsidRDefault="00AD63B1" w:rsidP="00613FAD">
      <w:pPr>
        <w:pStyle w:val="Heading1"/>
        <w:numPr>
          <w:ilvl w:val="0"/>
          <w:numId w:val="33"/>
        </w:numPr>
        <w:spacing w:before="0"/>
        <w:rPr>
          <w:noProof/>
          <w:u w:val="single"/>
          <w:lang w:val="en-IE"/>
        </w:rPr>
      </w:pPr>
      <w:r w:rsidRPr="00AD63B1">
        <w:rPr>
          <w:noProof/>
          <w:u w:val="single"/>
          <w:lang w:val="en-IE"/>
        </w:rPr>
        <w:t xml:space="preserve">Media Pluralism and Media Freedom </w:t>
      </w:r>
    </w:p>
    <w:p w14:paraId="42061540" w14:textId="77777777" w:rsidR="00AD63B1" w:rsidRPr="00743A71" w:rsidRDefault="00AD63B1" w:rsidP="00AD63B1">
      <w:pPr>
        <w:rPr>
          <w:noProof/>
          <w:lang w:val="en-IE"/>
        </w:rPr>
      </w:pPr>
      <w:r w:rsidRPr="5F374412">
        <w:rPr>
          <w:b/>
          <w:bCs/>
          <w:noProof/>
          <w:lang w:val="en-IE"/>
        </w:rPr>
        <w:t>The Regulatory authority for audiovisual and digital communication (ARCOM) is continuing to expand its regulatory scope and activities in response to new obligations and mandates</w:t>
      </w:r>
      <w:r w:rsidRPr="5F374412">
        <w:rPr>
          <w:noProof/>
          <w:lang w:val="en-IE"/>
        </w:rPr>
        <w:t xml:space="preserve">. ARCOM, the media regulator, </w:t>
      </w:r>
      <w:r w:rsidRPr="70EF899A">
        <w:rPr>
          <w:noProof/>
          <w:lang w:val="en-IE"/>
        </w:rPr>
        <w:t>has seen its role further strengthened in recent years</w:t>
      </w:r>
      <w:r>
        <w:rPr>
          <w:rStyle w:val="FootnoteReference"/>
          <w:noProof/>
          <w:lang w:val="en-IE"/>
        </w:rPr>
        <w:footnoteReference w:id="97"/>
      </w:r>
      <w:r w:rsidRPr="70EF899A">
        <w:rPr>
          <w:noProof/>
          <w:lang w:val="en-IE"/>
        </w:rPr>
        <w:t>. In the near future, ARCOM is expected to play a key role also in ensuring the application of the European Media Freedom Act (EMFA)</w:t>
      </w:r>
      <w:r w:rsidRPr="70EF899A">
        <w:rPr>
          <w:rStyle w:val="FootnoteReference"/>
          <w:noProof/>
          <w:lang w:val="en-IE"/>
        </w:rPr>
        <w:t xml:space="preserve"> </w:t>
      </w:r>
      <w:r w:rsidRPr="70EF899A">
        <w:rPr>
          <w:noProof/>
          <w:lang w:val="en-IE"/>
        </w:rPr>
        <w:t>at national level</w:t>
      </w:r>
      <w:r w:rsidRPr="70EF899A">
        <w:rPr>
          <w:rStyle w:val="FootnoteReference"/>
          <w:noProof/>
          <w:lang w:val="en-IE"/>
        </w:rPr>
        <w:footnoteReference w:id="98"/>
      </w:r>
      <w:r w:rsidRPr="70EF899A">
        <w:rPr>
          <w:noProof/>
          <w:lang w:val="en-IE"/>
        </w:rPr>
        <w:t>, as well as under a draft law to strengthen the effectiveness of neighbouring rights for the press</w:t>
      </w:r>
      <w:r w:rsidRPr="70EF899A">
        <w:rPr>
          <w:rStyle w:val="FootnoteReference"/>
          <w:noProof/>
          <w:lang w:val="en-IE"/>
        </w:rPr>
        <w:footnoteReference w:id="99"/>
      </w:r>
      <w:r w:rsidRPr="70EF899A">
        <w:rPr>
          <w:noProof/>
          <w:lang w:val="en-IE"/>
        </w:rPr>
        <w:t>, which would entrust it with new powers to oversee negotiations between publishers and digital platforms and to impose sanctions in case of non-compliance</w:t>
      </w:r>
      <w:r w:rsidRPr="70EF899A">
        <w:rPr>
          <w:rStyle w:val="FootnoteReference"/>
          <w:noProof/>
          <w:lang w:val="en-IE"/>
        </w:rPr>
        <w:footnoteReference w:id="100"/>
      </w:r>
      <w:r w:rsidRPr="70EF899A">
        <w:rPr>
          <w:noProof/>
          <w:lang w:val="en-IE"/>
        </w:rPr>
        <w:t>.</w:t>
      </w:r>
      <w:r w:rsidRPr="5F374412">
        <w:rPr>
          <w:noProof/>
          <w:lang w:val="en-IE"/>
        </w:rPr>
        <w:t xml:space="preserve"> This expansion of responsibilities takes place in a context where resources remain broadly stable or are slightly declining</w:t>
      </w:r>
      <w:r w:rsidRPr="5F374412">
        <w:rPr>
          <w:rStyle w:val="FootnoteReference"/>
          <w:noProof/>
          <w:lang w:val="en-IE"/>
        </w:rPr>
        <w:footnoteReference w:id="101"/>
      </w:r>
      <w:r w:rsidRPr="5F374412">
        <w:rPr>
          <w:noProof/>
          <w:lang w:val="en-IE"/>
        </w:rPr>
        <w:t xml:space="preserve">. In parallel, ARCOM is reflecting on how to enforce impartiality in public service media and has commissioned a report. Published in May 2026, </w:t>
      </w:r>
      <w:r>
        <w:rPr>
          <w:noProof/>
          <w:lang w:val="en-IE"/>
        </w:rPr>
        <w:t>this report</w:t>
      </w:r>
      <w:r w:rsidRPr="5F374412">
        <w:rPr>
          <w:noProof/>
          <w:lang w:val="en-IE"/>
        </w:rPr>
        <w:t xml:space="preserve"> puts forward 17 recommendations, which ARCOM will discuss with public service media providers and the Ministry of Culture over a six-week consultation period before presenting an action plan on the proposals</w:t>
      </w:r>
      <w:r>
        <w:rPr>
          <w:rStyle w:val="FootnoteReference"/>
          <w:noProof/>
          <w:lang w:val="en-IE"/>
        </w:rPr>
        <w:footnoteReference w:id="102"/>
      </w:r>
      <w:r w:rsidRPr="5F374412">
        <w:rPr>
          <w:noProof/>
          <w:lang w:val="en-IE"/>
        </w:rPr>
        <w:t>.</w:t>
      </w:r>
      <w:r>
        <w:rPr>
          <w:noProof/>
        </w:rPr>
        <w:t xml:space="preserve"> </w:t>
      </w:r>
      <w:r w:rsidRPr="5F374412">
        <w:rPr>
          <w:noProof/>
        </w:rPr>
        <w:t>Following the decision of the Council of State of 13 February 2024</w:t>
      </w:r>
      <w:r w:rsidRPr="5F374412">
        <w:rPr>
          <w:rStyle w:val="FootnoteReference"/>
          <w:noProof/>
          <w:lang w:val="en-IE"/>
        </w:rPr>
        <w:footnoteReference w:id="103"/>
      </w:r>
      <w:r w:rsidRPr="5F374412">
        <w:rPr>
          <w:noProof/>
        </w:rPr>
        <w:t>, ARCOM has initiated a process of adapting its methodology to broaden its assessment of pluralism, notably regarding the plurality of viewpoints and editorial balance, including through a more qualitative approach, while stakeholders remain attentive to its implementation. In this context, a formal complaint submitted by Reporters Without Borders (RSF) concerning alleged structural imbalances on one TV channel is currently under examination</w:t>
      </w:r>
      <w:r w:rsidRPr="5F374412">
        <w:rPr>
          <w:rStyle w:val="FootnoteReference"/>
          <w:noProof/>
          <w:lang w:val="en-IE"/>
        </w:rPr>
        <w:footnoteReference w:id="104"/>
      </w:r>
      <w:r w:rsidRPr="5F374412">
        <w:rPr>
          <w:noProof/>
        </w:rPr>
        <w:t>.</w:t>
      </w:r>
      <w:r w:rsidRPr="5F374412">
        <w:rPr>
          <w:noProof/>
          <w:lang w:val="en-IE"/>
        </w:rPr>
        <w:t xml:space="preserve"> </w:t>
      </w:r>
    </w:p>
    <w:p w14:paraId="7E6A1741" w14:textId="77777777" w:rsidR="00AD63B1" w:rsidRPr="00372F35" w:rsidRDefault="00AD63B1" w:rsidP="00AD63B1">
      <w:pPr>
        <w:rPr>
          <w:noProof/>
          <w:lang w:val="en-IE"/>
        </w:rPr>
      </w:pPr>
      <w:r w:rsidRPr="7649E722">
        <w:rPr>
          <w:b/>
          <w:bCs/>
          <w:noProof/>
          <w:lang w:val="en-IE"/>
        </w:rPr>
        <w:t>Recourse to media self-regulation has increased in recent years, indicating growing engagement with journalistic ethics</w:t>
      </w:r>
      <w:r w:rsidRPr="7649E722">
        <w:rPr>
          <w:noProof/>
          <w:lang w:val="en-IE"/>
        </w:rPr>
        <w:t xml:space="preserve">. </w:t>
      </w:r>
      <w:r w:rsidRPr="7649E722">
        <w:rPr>
          <w:noProof/>
        </w:rPr>
        <w:t>Based on the most recently available consolidated data (financial year 2024)</w:t>
      </w:r>
      <w:r w:rsidRPr="7649E722">
        <w:rPr>
          <w:noProof/>
          <w:lang w:val="en-IE"/>
        </w:rPr>
        <w:t>, the Journalistic Ethics and Mediation Council (CDJM), a body for mediation between journalists, the media or news agencies and the public, received over 200 complaints and issued a growing number of opinions, reflecting increased public engagement with journalistic ethics</w:t>
      </w:r>
      <w:r w:rsidRPr="7649E722">
        <w:rPr>
          <w:rStyle w:val="FootnoteReference"/>
          <w:noProof/>
          <w:lang w:val="en-IE"/>
        </w:rPr>
        <w:footnoteReference w:id="105"/>
      </w:r>
      <w:r w:rsidRPr="7649E722">
        <w:rPr>
          <w:noProof/>
          <w:lang w:val="en-IE"/>
        </w:rPr>
        <w:t xml:space="preserve">. Complaints mainly concern inaccuracies, lack of verification, conflicts of interest and breaches of ethical standards, with all types of media concerned, particularly print/online press and television. The CDJM has also introduced new tools, such as a confidential hotline, to support journalists in addressing ethical issues. </w:t>
      </w:r>
      <w:r w:rsidRPr="7649E722">
        <w:rPr>
          <w:noProof/>
        </w:rPr>
        <w:t>More recent signals (internal monitoring in 2025 and 2026) suggest that this trend continues. However, its effectiveness remains constrained by limited participation of major media outlets</w:t>
      </w:r>
      <w:r w:rsidRPr="7649E722">
        <w:rPr>
          <w:noProof/>
          <w:szCs w:val="24"/>
        </w:rPr>
        <w:t xml:space="preserve">, as well as </w:t>
      </w:r>
      <w:r w:rsidRPr="7649E722">
        <w:rPr>
          <w:noProof/>
        </w:rPr>
        <w:t>restricted resources, and a mandate focused on individual cases rather than systemic media pluralism issues</w:t>
      </w:r>
      <w:r w:rsidRPr="7649E722">
        <w:rPr>
          <w:rStyle w:val="FootnoteReference"/>
          <w:noProof/>
          <w:lang w:val="en-IE"/>
        </w:rPr>
        <w:footnoteReference w:id="106"/>
      </w:r>
      <w:r w:rsidRPr="7649E722">
        <w:rPr>
          <w:noProof/>
          <w:lang w:val="en-IE"/>
        </w:rPr>
        <w:t>.</w:t>
      </w:r>
    </w:p>
    <w:p w14:paraId="470B251B" w14:textId="628B7B78" w:rsidR="00AD63B1" w:rsidRPr="000C6D35" w:rsidRDefault="00AD63B1" w:rsidP="2BE400D0">
      <w:pPr>
        <w:spacing w:before="240"/>
        <w:rPr>
          <w:noProof/>
          <w:lang w:val="en-IE"/>
        </w:rPr>
      </w:pPr>
      <w:r w:rsidRPr="2BE400D0">
        <w:rPr>
          <w:b/>
          <w:bCs/>
          <w:noProof/>
          <w:lang w:val="en-IE"/>
        </w:rPr>
        <w:t xml:space="preserve">While public service media are restructuring their activities due to budget constraints, pressure on them has intensified in the public debate. </w:t>
      </w:r>
      <w:r w:rsidRPr="2BE400D0">
        <w:rPr>
          <w:noProof/>
          <w:lang w:val="en-IE"/>
        </w:rPr>
        <w:t>The reform of public broadcasting governance aiming to create a holding with public service media outlets is currently on hold</w:t>
      </w:r>
      <w:r w:rsidRPr="2BE400D0">
        <w:rPr>
          <w:rStyle w:val="FootnoteReference"/>
          <w:noProof/>
          <w:lang w:val="en-IE"/>
        </w:rPr>
        <w:footnoteReference w:id="107"/>
      </w:r>
      <w:r w:rsidRPr="2BE400D0">
        <w:rPr>
          <w:noProof/>
          <w:lang w:val="en-IE"/>
        </w:rPr>
        <w:t xml:space="preserve">. In parallel, a parliamentary inquiry committee has been established in November 2025 to examine the neutrality, functioning and financing of public service media. </w:t>
      </w:r>
      <w:r>
        <w:rPr>
          <w:noProof/>
        </w:rPr>
        <w:t>Its final report</w:t>
      </w:r>
      <w:r w:rsidRPr="2BE400D0">
        <w:rPr>
          <w:rStyle w:val="FootnoteReference"/>
          <w:noProof/>
        </w:rPr>
        <w:footnoteReference w:id="108"/>
      </w:r>
      <w:r>
        <w:rPr>
          <w:noProof/>
        </w:rPr>
        <w:t xml:space="preserve">, published on </w:t>
      </w:r>
      <w:r w:rsidR="701131E5" w:rsidRPr="2BE400D0">
        <w:rPr>
          <w:noProof/>
          <w:lang w:val="en-IE"/>
        </w:rPr>
        <w:t>5</w:t>
      </w:r>
      <w:r>
        <w:rPr>
          <w:noProof/>
        </w:rPr>
        <w:t xml:space="preserve"> </w:t>
      </w:r>
      <w:r w:rsidR="701131E5" w:rsidRPr="2BE400D0">
        <w:rPr>
          <w:noProof/>
          <w:lang w:val="en-IE"/>
        </w:rPr>
        <w:t>May</w:t>
      </w:r>
      <w:r>
        <w:rPr>
          <w:noProof/>
        </w:rPr>
        <w:t xml:space="preserve"> 2026, contains around 70 non-binding recommendations, including recommendations for significant funding cuts, the closure or merger of several public media outlets, stricter neutrality obligations, and the reintroduction of presidential appointments for public broadcasting executives. On 12 May</w:t>
      </w:r>
      <w:r w:rsidR="00E806A3">
        <w:rPr>
          <w:noProof/>
        </w:rPr>
        <w:t xml:space="preserve"> 2026</w:t>
      </w:r>
      <w:r>
        <w:rPr>
          <w:noProof/>
        </w:rPr>
        <w:t>, the Committee’s rapporteur tabled a bill aimed at preventing conflicts of interest within public audiovisual media</w:t>
      </w:r>
      <w:r w:rsidR="38F858AD">
        <w:rPr>
          <w:noProof/>
        </w:rPr>
        <w:t xml:space="preserve">. </w:t>
      </w:r>
      <w:r w:rsidR="38F858AD" w:rsidRPr="2BE400D0">
        <w:rPr>
          <w:noProof/>
          <w:szCs w:val="24"/>
        </w:rPr>
        <w:t xml:space="preserve">The bill was scheduled for consideration by the National Assembly in plenary on 25 June </w:t>
      </w:r>
      <w:r w:rsidR="001E14D4">
        <w:rPr>
          <w:noProof/>
          <w:szCs w:val="24"/>
        </w:rPr>
        <w:t xml:space="preserve">2026 </w:t>
      </w:r>
      <w:r w:rsidR="38F858AD" w:rsidRPr="2BE400D0">
        <w:rPr>
          <w:noProof/>
          <w:szCs w:val="24"/>
        </w:rPr>
        <w:t>but was ultimately not examined.</w:t>
      </w:r>
      <w:r w:rsidR="008B6477">
        <w:rPr>
          <w:noProof/>
        </w:rPr>
        <w:t xml:space="preserve"> </w:t>
      </w:r>
      <w:r w:rsidRPr="2BE400D0">
        <w:rPr>
          <w:noProof/>
          <w:lang w:val="en-IE"/>
        </w:rPr>
        <w:t>On the funding side, the reform linking public broadcasting financing to a share of VAT revenues, adopted in December 2024, has been welcomed by public service media as improving predictability</w:t>
      </w:r>
      <w:r w:rsidRPr="2BE400D0">
        <w:rPr>
          <w:rStyle w:val="FootnoteReference"/>
          <w:noProof/>
          <w:lang w:val="en-IE"/>
        </w:rPr>
        <w:footnoteReference w:id="109"/>
      </w:r>
      <w:r w:rsidRPr="2BE400D0">
        <w:rPr>
          <w:noProof/>
          <w:lang w:val="en-IE"/>
        </w:rPr>
        <w:t xml:space="preserve">. The Draft Finance Law for 2026 nevertheless includes reductions in the context of broader fiscal consolidation efforts, with a budget cut of around EUR </w:t>
      </w:r>
      <w:r w:rsidR="3019F631" w:rsidRPr="2BE400D0">
        <w:rPr>
          <w:noProof/>
          <w:lang w:val="en-IE"/>
        </w:rPr>
        <w:t>80,2</w:t>
      </w:r>
      <w:r w:rsidRPr="2BE400D0">
        <w:rPr>
          <w:noProof/>
          <w:lang w:val="en-IE"/>
        </w:rPr>
        <w:t xml:space="preserve"> million for France Télévisions</w:t>
      </w:r>
      <w:r w:rsidRPr="2BE400D0">
        <w:rPr>
          <w:rStyle w:val="FootnoteReference"/>
          <w:noProof/>
          <w:lang w:val="en-IE"/>
        </w:rPr>
        <w:footnoteReference w:id="110"/>
      </w:r>
      <w:r w:rsidRPr="2BE400D0">
        <w:rPr>
          <w:noProof/>
          <w:lang w:val="en-IE"/>
        </w:rPr>
        <w:t xml:space="preserve"> and EUR 4</w:t>
      </w:r>
      <w:r w:rsidR="28FCBE3A" w:rsidRPr="2BE400D0">
        <w:rPr>
          <w:noProof/>
          <w:lang w:val="en-IE"/>
        </w:rPr>
        <w:t>,1</w:t>
      </w:r>
      <w:r w:rsidRPr="2BE400D0">
        <w:rPr>
          <w:noProof/>
          <w:lang w:val="en-IE"/>
        </w:rPr>
        <w:t xml:space="preserve"> million for Radio France</w:t>
      </w:r>
      <w:r w:rsidRPr="2BE400D0">
        <w:rPr>
          <w:rStyle w:val="FootnoteReference"/>
          <w:noProof/>
          <w:lang w:val="en-IE"/>
        </w:rPr>
        <w:footnoteReference w:id="111"/>
      </w:r>
      <w:r w:rsidR="1B33C868" w:rsidRPr="2BE400D0">
        <w:rPr>
          <w:rStyle w:val="FootnoteReference"/>
          <w:noProof/>
          <w:lang w:val="en-IE"/>
        </w:rPr>
        <w:t xml:space="preserve"> </w:t>
      </w:r>
      <w:r w:rsidR="1B33C868">
        <w:rPr>
          <w:noProof/>
        </w:rPr>
        <w:t>compared to 2025</w:t>
      </w:r>
      <w:r w:rsidRPr="2BE400D0">
        <w:rPr>
          <w:rStyle w:val="FootnoteReference"/>
          <w:noProof/>
          <w:lang w:val="en-IE"/>
        </w:rPr>
        <w:footnoteReference w:id="112"/>
      </w:r>
      <w:r w:rsidR="001B20C1" w:rsidRPr="2BE400D0">
        <w:rPr>
          <w:noProof/>
          <w:lang w:val="en-IE"/>
        </w:rPr>
        <w:t xml:space="preserve">. </w:t>
      </w:r>
      <w:r w:rsidRPr="2BE400D0">
        <w:rPr>
          <w:noProof/>
          <w:lang w:val="en-IE"/>
        </w:rPr>
        <w:t>The savings will include workforce reductions</w:t>
      </w:r>
      <w:r w:rsidRPr="2BE400D0">
        <w:rPr>
          <w:rStyle w:val="FootnoteReference"/>
          <w:noProof/>
          <w:lang w:val="en-IE"/>
        </w:rPr>
        <w:footnoteReference w:id="113"/>
      </w:r>
      <w:r w:rsidR="001B20C1" w:rsidRPr="2BE400D0">
        <w:rPr>
          <w:noProof/>
          <w:lang w:val="en-IE"/>
        </w:rPr>
        <w:t xml:space="preserve">, </w:t>
      </w:r>
      <w:r w:rsidRPr="2BE400D0">
        <w:rPr>
          <w:noProof/>
          <w:lang w:val="en-IE"/>
        </w:rPr>
        <w:t>a strict control of operating and structural costs, the sale of real estate assets, lower programme spending</w:t>
      </w:r>
      <w:r w:rsidRPr="2BE400D0">
        <w:rPr>
          <w:rStyle w:val="FootnoteReference"/>
          <w:noProof/>
          <w:lang w:val="en-IE"/>
        </w:rPr>
        <w:footnoteReference w:id="114"/>
      </w:r>
      <w:r w:rsidRPr="2BE400D0">
        <w:rPr>
          <w:noProof/>
          <w:lang w:val="en-IE"/>
        </w:rPr>
        <w:t xml:space="preserve">, </w:t>
      </w:r>
      <w:r w:rsidR="006A2177" w:rsidRPr="2BE400D0">
        <w:rPr>
          <w:noProof/>
          <w:lang w:val="en-IE"/>
        </w:rPr>
        <w:t xml:space="preserve">and reductions in certain FM broadcasting frequencies. Both operators welcomed the ongoing discussions with the Government on new multiannual contracts of objectives and means </w:t>
      </w:r>
      <w:r w:rsidR="00D64936" w:rsidRPr="2BE400D0">
        <w:rPr>
          <w:noProof/>
          <w:lang w:val="en-IE"/>
        </w:rPr>
        <w:t xml:space="preserve">(COM), </w:t>
      </w:r>
      <w:r w:rsidRPr="2BE400D0">
        <w:rPr>
          <w:noProof/>
          <w:lang w:val="en-IE"/>
        </w:rPr>
        <w:t>which are expected to restore greater predictability to their financial framework</w:t>
      </w:r>
      <w:r w:rsidRPr="2BE400D0">
        <w:rPr>
          <w:rStyle w:val="FootnoteReference"/>
          <w:noProof/>
          <w:lang w:val="en-IE"/>
        </w:rPr>
        <w:footnoteReference w:id="115"/>
      </w:r>
      <w:r w:rsidR="00A779F6" w:rsidRPr="2BE400D0">
        <w:rPr>
          <w:noProof/>
          <w:lang w:val="en-IE"/>
        </w:rPr>
        <w:t xml:space="preserve"> </w:t>
      </w:r>
      <w:r w:rsidRPr="2BE400D0">
        <w:rPr>
          <w:noProof/>
          <w:lang w:val="en-IE"/>
        </w:rPr>
        <w:t>identified strengthening news coverage, particularly at national and local level, and accelerating digital transformation as key priorities. Both operators have launched initiatives to strengthen transparency and audience trust, including the introduction of a “pluralism barometer”</w:t>
      </w:r>
      <w:r w:rsidR="00A779F6" w:rsidRPr="2BE400D0">
        <w:rPr>
          <w:noProof/>
          <w:lang w:val="en-IE"/>
        </w:rPr>
        <w:t xml:space="preserve"> </w:t>
      </w:r>
      <w:r w:rsidR="5FCD6649">
        <w:rPr>
          <w:noProof/>
        </w:rPr>
        <w:t xml:space="preserve">for Radio France Group </w:t>
      </w:r>
      <w:r w:rsidR="5FCD6649" w:rsidRPr="2BE400D0">
        <w:rPr>
          <w:noProof/>
          <w:lang w:val="en-US"/>
        </w:rPr>
        <w:t xml:space="preserve">and </w:t>
      </w:r>
      <w:r w:rsidR="5FCD6649">
        <w:rPr>
          <w:noProof/>
        </w:rPr>
        <w:t>a new section entitled "Transparency" on the France Télévisions’ website</w:t>
      </w:r>
      <w:r w:rsidR="5FCD6649" w:rsidRPr="2BE400D0">
        <w:rPr>
          <w:noProof/>
          <w:lang w:val="en-US"/>
        </w:rPr>
        <w:t xml:space="preserve"> </w:t>
      </w:r>
      <w:r w:rsidR="5FCD6649" w:rsidRPr="2BE400D0">
        <w:rPr>
          <w:noProof/>
          <w:lang w:val="en-IE"/>
        </w:rPr>
        <w:t xml:space="preserve"> </w:t>
      </w:r>
      <w:r w:rsidRPr="2BE400D0">
        <w:rPr>
          <w:noProof/>
          <w:lang w:val="en-IE"/>
        </w:rPr>
        <w:t xml:space="preserve"> aimed at improving public access to information on its costs and use of resources.</w:t>
      </w:r>
    </w:p>
    <w:p w14:paraId="119B4677" w14:textId="0140DD5A" w:rsidR="00AD63B1" w:rsidRDefault="00AD63B1" w:rsidP="00AD63B1">
      <w:pPr>
        <w:rPr>
          <w:noProof/>
          <w:lang w:val="en-IE"/>
        </w:rPr>
      </w:pPr>
      <w:r w:rsidRPr="0077453B">
        <w:rPr>
          <w:b/>
          <w:bCs/>
          <w:noProof/>
        </w:rPr>
        <w:t>Further steps were taken</w:t>
      </w:r>
      <w:r>
        <w:rPr>
          <w:b/>
          <w:bCs/>
          <w:noProof/>
        </w:rPr>
        <w:t xml:space="preserve"> </w:t>
      </w:r>
      <w:r w:rsidRPr="50B41325">
        <w:rPr>
          <w:b/>
          <w:bCs/>
          <w:noProof/>
        </w:rPr>
        <w:t>to improve the transparency of media ownership</w:t>
      </w:r>
      <w:r>
        <w:rPr>
          <w:b/>
          <w:bCs/>
          <w:noProof/>
        </w:rPr>
        <w:t xml:space="preserve">, including through </w:t>
      </w:r>
      <w:r w:rsidRPr="50B41325">
        <w:rPr>
          <w:b/>
          <w:bCs/>
          <w:noProof/>
        </w:rPr>
        <w:t xml:space="preserve">the development of a </w:t>
      </w:r>
      <w:r w:rsidRPr="50B41325">
        <w:rPr>
          <w:b/>
          <w:bCs/>
          <w:noProof/>
          <w:lang w:val="en-IE"/>
        </w:rPr>
        <w:t>preliminary transparency database, while media concentration is an increasing concern</w:t>
      </w:r>
      <w:r w:rsidRPr="50B41325">
        <w:rPr>
          <w:rStyle w:val="FootnoteReference"/>
          <w:b/>
          <w:bCs/>
          <w:noProof/>
          <w:lang w:val="en-IE"/>
        </w:rPr>
        <w:footnoteReference w:id="116"/>
      </w:r>
      <w:r w:rsidRPr="50B41325">
        <w:rPr>
          <w:b/>
          <w:bCs/>
          <w:noProof/>
          <w:lang w:val="en-IE"/>
        </w:rPr>
        <w:t xml:space="preserve">. </w:t>
      </w:r>
      <w:r w:rsidRPr="50B41325">
        <w:rPr>
          <w:noProof/>
        </w:rPr>
        <w:t xml:space="preserve">A preliminary media ownership transparency database has been developed, although its full deployment remains contingent on the adoption of the necessary national measures, for which no definitive timeline has yet been confirmed by the Government. The current scope of the database covers audiovisual media (television and radio services authorized for terrestrial broadcasting), but it should be extended to include print media and online news services </w:t>
      </w:r>
      <w:r w:rsidRPr="174EBC43">
        <w:rPr>
          <w:noProof/>
        </w:rPr>
        <w:t>once the relevant legislation is adopted in France</w:t>
      </w:r>
      <w:r w:rsidRPr="50B41325">
        <w:rPr>
          <w:noProof/>
        </w:rPr>
        <w:t xml:space="preserve">. In this context, the authorities are considering extending the powers and competences of ARCOM </w:t>
      </w:r>
      <w:r w:rsidR="262B5F47" w:rsidRPr="002F7B37">
        <w:rPr>
          <w:noProof/>
          <w:szCs w:val="24"/>
          <w:lang w:val="en"/>
        </w:rPr>
        <w:t>so that it can carry out an assessment of certain transactions in the media market from the pluralism standpoint, in collaboration with the Competition Authority</w:t>
      </w:r>
      <w:r w:rsidRPr="50B41325">
        <w:rPr>
          <w:noProof/>
        </w:rPr>
        <w:t>.</w:t>
      </w:r>
      <w:r w:rsidRPr="50B41325">
        <w:rPr>
          <w:noProof/>
          <w:lang w:val="en-IE"/>
        </w:rPr>
        <w:t xml:space="preserve"> </w:t>
      </w:r>
      <w:r w:rsidRPr="50B41325">
        <w:rPr>
          <w:noProof/>
        </w:rPr>
        <w:t>Stakeholders, including journalists’ organisations, report increasing concerns regarding the concentration of media ownership, notably driven by acquisitions by a limited number of large private groups</w:t>
      </w:r>
      <w:r w:rsidRPr="50B41325">
        <w:rPr>
          <w:rStyle w:val="FootnoteReference"/>
          <w:noProof/>
        </w:rPr>
        <w:footnoteReference w:id="117"/>
      </w:r>
      <w:r w:rsidRPr="50B41325">
        <w:rPr>
          <w:noProof/>
        </w:rPr>
        <w:t>. They highlight that these developments may affect editorial independence, transparency and the diversity of viewpoints, including through reported changes to internal safeguards within media outlets. In the context of growing economic pressures on the sector, stakeholders underline that these trends may further weaken media pluralism</w:t>
      </w:r>
      <w:r w:rsidRPr="50B41325">
        <w:rPr>
          <w:rStyle w:val="FootnoteReference"/>
          <w:noProof/>
          <w:lang w:val="en-IE"/>
        </w:rPr>
        <w:footnoteReference w:id="118"/>
      </w:r>
      <w:r w:rsidRPr="50B41325">
        <w:rPr>
          <w:noProof/>
          <w:lang w:val="en-IE"/>
        </w:rPr>
        <w:t xml:space="preserve">. The 2025 Media MPM report identified market plurality as the most concerning area for France, highlighting persistent structural issues, and the 2026 Media Pluralism Monitor (MPM) </w:t>
      </w:r>
      <w:r w:rsidRPr="0075344B">
        <w:rPr>
          <w:noProof/>
          <w:lang w:val="en-IE"/>
        </w:rPr>
        <w:t xml:space="preserve">reports an increased risk of </w:t>
      </w:r>
      <w:r w:rsidRPr="00F132AA">
        <w:rPr>
          <w:noProof/>
          <w:lang w:val="en-IE"/>
        </w:rPr>
        <w:t>71%</w:t>
      </w:r>
      <w:r w:rsidRPr="0075344B">
        <w:rPr>
          <w:noProof/>
          <w:lang w:val="en-IE"/>
        </w:rPr>
        <w:t xml:space="preserve"> for market plurality</w:t>
      </w:r>
      <w:r w:rsidRPr="0075344B">
        <w:rPr>
          <w:rStyle w:val="FootnoteReference"/>
          <w:noProof/>
          <w:lang w:val="en-IE"/>
        </w:rPr>
        <w:footnoteReference w:id="119"/>
      </w:r>
      <w:r w:rsidRPr="3EB3ACE3">
        <w:rPr>
          <w:i/>
          <w:iCs/>
          <w:noProof/>
          <w:lang w:val="en-IE"/>
        </w:rPr>
        <w:t>.</w:t>
      </w:r>
      <w:r w:rsidRPr="0075344B">
        <w:rPr>
          <w:noProof/>
          <w:lang w:val="en-IE"/>
        </w:rPr>
        <w:t xml:space="preserve"> In light of the development</w:t>
      </w:r>
      <w:r w:rsidRPr="50B41325">
        <w:rPr>
          <w:noProof/>
          <w:lang w:val="en-IE"/>
        </w:rPr>
        <w:t xml:space="preserve"> of the media ownership transparency database, there has been some further progress on this recommendation.</w:t>
      </w:r>
    </w:p>
    <w:p w14:paraId="0CEB0BEA" w14:textId="77777777" w:rsidR="00AD63B1" w:rsidRPr="00031C59" w:rsidRDefault="00AD63B1" w:rsidP="00AD63B1">
      <w:pPr>
        <w:rPr>
          <w:b/>
          <w:bCs/>
          <w:noProof/>
          <w:lang w:val="en-IE"/>
        </w:rPr>
      </w:pPr>
      <w:r w:rsidRPr="00F2338F">
        <w:rPr>
          <w:b/>
          <w:bCs/>
          <w:noProof/>
          <w:lang w:val="en-IE"/>
        </w:rPr>
        <w:t xml:space="preserve">The </w:t>
      </w:r>
      <w:r w:rsidRPr="00D07A16">
        <w:rPr>
          <w:b/>
          <w:bCs/>
          <w:noProof/>
          <w:lang w:val="en-IE"/>
        </w:rPr>
        <w:t>Commission for Access to Administrative Documents</w:t>
      </w:r>
      <w:r w:rsidRPr="00F2338F">
        <w:rPr>
          <w:b/>
          <w:bCs/>
          <w:noProof/>
          <w:lang w:val="en-IE"/>
        </w:rPr>
        <w:t xml:space="preserve"> </w:t>
      </w:r>
      <w:r>
        <w:rPr>
          <w:b/>
          <w:bCs/>
          <w:noProof/>
          <w:lang w:val="en-IE"/>
        </w:rPr>
        <w:t>received</w:t>
      </w:r>
      <w:r w:rsidRPr="00F2338F">
        <w:rPr>
          <w:b/>
          <w:bCs/>
          <w:noProof/>
          <w:lang w:val="en-IE"/>
        </w:rPr>
        <w:t xml:space="preserve"> a record number of re</w:t>
      </w:r>
      <w:r>
        <w:rPr>
          <w:b/>
          <w:bCs/>
          <w:noProof/>
          <w:lang w:val="en-IE"/>
        </w:rPr>
        <w:t>quests for access to official documents</w:t>
      </w:r>
      <w:r w:rsidRPr="00F2338F">
        <w:rPr>
          <w:b/>
          <w:bCs/>
          <w:noProof/>
          <w:lang w:val="en-IE"/>
        </w:rPr>
        <w:t xml:space="preserve">, </w:t>
      </w:r>
      <w:r>
        <w:rPr>
          <w:b/>
          <w:bCs/>
          <w:noProof/>
          <w:lang w:val="en-IE"/>
        </w:rPr>
        <w:t xml:space="preserve">while </w:t>
      </w:r>
      <w:r w:rsidRPr="00333BC2">
        <w:rPr>
          <w:b/>
          <w:bCs/>
          <w:noProof/>
        </w:rPr>
        <w:t xml:space="preserve">requests from journalists </w:t>
      </w:r>
      <w:r>
        <w:rPr>
          <w:b/>
          <w:bCs/>
          <w:noProof/>
        </w:rPr>
        <w:t>were in minority</w:t>
      </w:r>
      <w:r w:rsidRPr="00031C59">
        <w:rPr>
          <w:b/>
          <w:bCs/>
          <w:noProof/>
          <w:lang w:val="en-IE"/>
        </w:rPr>
        <w:t>.</w:t>
      </w:r>
      <w:r>
        <w:rPr>
          <w:b/>
          <w:bCs/>
          <w:noProof/>
          <w:lang w:val="en-IE"/>
        </w:rPr>
        <w:t xml:space="preserve"> </w:t>
      </w:r>
      <w:r w:rsidRPr="00E17D36">
        <w:rPr>
          <w:noProof/>
          <w:lang w:val="en-IE"/>
        </w:rPr>
        <w:t>The</w:t>
      </w:r>
      <w:r>
        <w:rPr>
          <w:b/>
          <w:bCs/>
          <w:noProof/>
          <w:lang w:val="en-IE"/>
        </w:rPr>
        <w:t xml:space="preserve"> </w:t>
      </w:r>
      <w:r w:rsidRPr="00E17D36">
        <w:rPr>
          <w:noProof/>
          <w:lang w:val="en-IE"/>
        </w:rPr>
        <w:t>Commission for Access to Administrative Documents</w:t>
      </w:r>
      <w:r w:rsidRPr="00031C59">
        <w:rPr>
          <w:b/>
          <w:bCs/>
          <w:noProof/>
          <w:lang w:val="en-IE"/>
        </w:rPr>
        <w:t xml:space="preserve"> </w:t>
      </w:r>
      <w:r>
        <w:rPr>
          <w:b/>
          <w:bCs/>
          <w:noProof/>
          <w:lang w:val="en-IE"/>
        </w:rPr>
        <w:t>(</w:t>
      </w:r>
      <w:r w:rsidRPr="00031C59">
        <w:rPr>
          <w:noProof/>
          <w:lang w:val="en-IE"/>
        </w:rPr>
        <w:t>CADA</w:t>
      </w:r>
      <w:r>
        <w:rPr>
          <w:noProof/>
          <w:lang w:val="en-IE"/>
        </w:rPr>
        <w:t>)</w:t>
      </w:r>
      <w:r w:rsidRPr="00031C59">
        <w:rPr>
          <w:noProof/>
          <w:lang w:val="en-IE"/>
        </w:rPr>
        <w:t xml:space="preserve"> plays a central role in overseeing th</w:t>
      </w:r>
      <w:r>
        <w:rPr>
          <w:noProof/>
          <w:lang w:val="en-IE"/>
        </w:rPr>
        <w:t>e</w:t>
      </w:r>
      <w:r w:rsidRPr="00031C59">
        <w:rPr>
          <w:noProof/>
          <w:lang w:val="en-IE"/>
        </w:rPr>
        <w:t xml:space="preserve"> right</w:t>
      </w:r>
      <w:r>
        <w:rPr>
          <w:noProof/>
          <w:lang w:val="en-IE"/>
        </w:rPr>
        <w:t xml:space="preserve"> </w:t>
      </w:r>
      <w:r w:rsidRPr="00137697">
        <w:rPr>
          <w:noProof/>
        </w:rPr>
        <w:t>to access official documents</w:t>
      </w:r>
      <w:r w:rsidRPr="00031C59">
        <w:rPr>
          <w:noProof/>
          <w:lang w:val="en-IE"/>
        </w:rPr>
        <w:t xml:space="preserve">, including through advisory opinions and guidance to administrations. </w:t>
      </w:r>
      <w:r>
        <w:rPr>
          <w:noProof/>
          <w:lang w:val="en-IE"/>
        </w:rPr>
        <w:t>Requests</w:t>
      </w:r>
      <w:r w:rsidRPr="00F1364F">
        <w:rPr>
          <w:noProof/>
          <w:lang w:val="en-IE"/>
        </w:rPr>
        <w:t xml:space="preserve"> submitted by journalists represent a limited share of its activity,</w:t>
      </w:r>
      <w:r>
        <w:rPr>
          <w:noProof/>
          <w:lang w:val="en-IE"/>
        </w:rPr>
        <w:t xml:space="preserve"> </w:t>
      </w:r>
      <w:r>
        <w:rPr>
          <w:noProof/>
        </w:rPr>
        <w:t>b</w:t>
      </w:r>
      <w:r w:rsidRPr="006609F6">
        <w:rPr>
          <w:noProof/>
        </w:rPr>
        <w:t>ased on the most recently available consolidated data (</w:t>
      </w:r>
      <w:r>
        <w:rPr>
          <w:noProof/>
        </w:rPr>
        <w:t xml:space="preserve">financial year </w:t>
      </w:r>
      <w:r w:rsidRPr="006609F6">
        <w:rPr>
          <w:noProof/>
        </w:rPr>
        <w:t>2024)</w:t>
      </w:r>
      <w:r w:rsidRPr="004B756A">
        <w:rPr>
          <w:noProof/>
          <w:lang w:val="en-IE"/>
        </w:rPr>
        <w:t xml:space="preserve">, </w:t>
      </w:r>
      <w:r w:rsidRPr="00F1364F">
        <w:rPr>
          <w:noProof/>
          <w:lang w:val="en-IE"/>
        </w:rPr>
        <w:t>accounting for around 2% in 2024 and not exceeding 5% overall, and mainly concern areas such as public procurement, public finances, public security and government policy</w:t>
      </w:r>
      <w:r w:rsidRPr="00F1364F">
        <w:rPr>
          <w:noProof/>
          <w:vertAlign w:val="superscript"/>
          <w:lang w:val="en-IE"/>
        </w:rPr>
        <w:footnoteReference w:id="120"/>
      </w:r>
      <w:r w:rsidRPr="00F1364F">
        <w:rPr>
          <w:noProof/>
          <w:lang w:val="en-IE"/>
        </w:rPr>
        <w:t>.</w:t>
      </w:r>
      <w:r w:rsidRPr="00031C59">
        <w:rPr>
          <w:noProof/>
          <w:lang w:val="en-IE"/>
        </w:rPr>
        <w:t xml:space="preserve"> At the same time, some stakeholders indicate that access procedures </w:t>
      </w:r>
      <w:r>
        <w:rPr>
          <w:noProof/>
          <w:lang w:val="en-IE"/>
        </w:rPr>
        <w:t xml:space="preserve">are sometimes </w:t>
      </w:r>
      <w:r w:rsidRPr="00031C59">
        <w:rPr>
          <w:noProof/>
          <w:lang w:val="en-IE"/>
        </w:rPr>
        <w:t>complex in practice, particularly given the non-binding nature of CADA’s opinions and the potential need to seek judicial review to obtain access to certain documents</w:t>
      </w:r>
      <w:r>
        <w:rPr>
          <w:rStyle w:val="FootnoteReference"/>
          <w:noProof/>
          <w:lang w:val="en-IE"/>
        </w:rPr>
        <w:footnoteReference w:id="121"/>
      </w:r>
      <w:r w:rsidRPr="00031C59">
        <w:rPr>
          <w:noProof/>
          <w:lang w:val="en-IE"/>
        </w:rPr>
        <w:t>.</w:t>
      </w:r>
    </w:p>
    <w:p w14:paraId="3034CAD4" w14:textId="780A89E6" w:rsidR="00AD63B1" w:rsidRPr="00FF276F" w:rsidRDefault="766A81C6" w:rsidP="1147A670">
      <w:pPr>
        <w:rPr>
          <w:rStyle w:val="FootnoteReference"/>
          <w:noProof/>
        </w:rPr>
      </w:pPr>
      <w:r w:rsidRPr="7649E722">
        <w:rPr>
          <w:b/>
          <w:bCs/>
          <w:noProof/>
          <w:lang w:val="en-IE"/>
        </w:rPr>
        <w:t xml:space="preserve">Developments </w:t>
      </w:r>
      <w:r w:rsidR="00AD63B1" w:rsidRPr="1147A670" w:rsidDel="766A81C6">
        <w:rPr>
          <w:b/>
          <w:bCs/>
          <w:noProof/>
          <w:lang w:val="en-IE"/>
        </w:rPr>
        <w:t>affecting the working conditions for</w:t>
      </w:r>
      <w:r w:rsidRPr="7649E722">
        <w:rPr>
          <w:b/>
          <w:bCs/>
          <w:noProof/>
          <w:lang w:val="en-IE"/>
        </w:rPr>
        <w:t xml:space="preserve"> journalists </w:t>
      </w:r>
      <w:r w:rsidRPr="4B21BCCF">
        <w:rPr>
          <w:b/>
          <w:bCs/>
          <w:noProof/>
          <w:lang w:val="en-IE"/>
        </w:rPr>
        <w:t xml:space="preserve">included </w:t>
      </w:r>
      <w:r w:rsidRPr="7649E722">
        <w:rPr>
          <w:b/>
          <w:bCs/>
          <w:noProof/>
          <w:lang w:val="en-IE"/>
        </w:rPr>
        <w:t xml:space="preserve">a Court </w:t>
      </w:r>
      <w:r w:rsidRPr="4B21BCCF">
        <w:rPr>
          <w:b/>
          <w:bCs/>
          <w:noProof/>
          <w:lang w:val="en-IE"/>
        </w:rPr>
        <w:t xml:space="preserve">of Cassation </w:t>
      </w:r>
      <w:r w:rsidRPr="7649E722">
        <w:rPr>
          <w:b/>
          <w:bCs/>
          <w:noProof/>
          <w:lang w:val="en-IE"/>
        </w:rPr>
        <w:t>judgment strengthen</w:t>
      </w:r>
      <w:r w:rsidRPr="4B21BCCF">
        <w:rPr>
          <w:b/>
          <w:bCs/>
          <w:noProof/>
          <w:lang w:val="en-IE"/>
        </w:rPr>
        <w:t xml:space="preserve">ing </w:t>
      </w:r>
      <w:r w:rsidRPr="7649E722">
        <w:rPr>
          <w:b/>
          <w:bCs/>
          <w:noProof/>
          <w:lang w:val="en-IE"/>
        </w:rPr>
        <w:t>the protection of sources, while challenges persist related to their safety.</w:t>
      </w:r>
      <w:r w:rsidR="002F7B37">
        <w:rPr>
          <w:b/>
          <w:bCs/>
          <w:noProof/>
          <w:lang w:val="en-IE"/>
        </w:rPr>
        <w:t xml:space="preserve"> </w:t>
      </w:r>
      <w:r w:rsidRPr="1147A670">
        <w:rPr>
          <w:noProof/>
          <w:lang w:val="en-IE"/>
        </w:rPr>
        <w:t>The draft law to strengthen the effectiveness of neighbouring rights for the press</w:t>
      </w:r>
      <w:r w:rsidR="00AD63B1" w:rsidRPr="7649E722">
        <w:rPr>
          <w:rStyle w:val="FootnoteReference"/>
          <w:noProof/>
          <w:lang w:val="en-IE"/>
        </w:rPr>
        <w:footnoteReference w:id="122"/>
      </w:r>
      <w:r w:rsidR="002B4FEF">
        <w:rPr>
          <w:noProof/>
          <w:lang w:val="en-IE"/>
        </w:rPr>
        <w:t xml:space="preserve"> </w:t>
      </w:r>
      <w:r w:rsidR="002B4FEF" w:rsidRPr="7649E722">
        <w:rPr>
          <w:noProof/>
          <w:lang w:val="en-IE"/>
        </w:rPr>
        <w:t xml:space="preserve">supported by the Government and adopted at first reading by the National Assembly in March 2026, aims to strengthen the effective enforcement of neighbouring rights for the press by improving access to data from digital platforms, facilitating negotiations, and granting ARCOM new regulatory and sanctioning powers. </w:t>
      </w:r>
      <w:r w:rsidR="276F4357" w:rsidRPr="7649E722">
        <w:rPr>
          <w:noProof/>
          <w:lang w:val="en-IE"/>
        </w:rPr>
        <w:t>The bill was</w:t>
      </w:r>
      <w:r w:rsidRPr="7649E722">
        <w:rPr>
          <w:noProof/>
          <w:lang w:val="en-IE"/>
        </w:rPr>
        <w:t xml:space="preserve"> </w:t>
      </w:r>
      <w:r w:rsidR="0A7DE09C" w:rsidRPr="7649E722">
        <w:rPr>
          <w:noProof/>
          <w:lang w:val="en-IE"/>
        </w:rPr>
        <w:t>adopted</w:t>
      </w:r>
      <w:r w:rsidRPr="7649E722">
        <w:rPr>
          <w:noProof/>
          <w:lang w:val="en-IE"/>
        </w:rPr>
        <w:t xml:space="preserve"> by the Senate</w:t>
      </w:r>
      <w:r w:rsidR="6E428468" w:rsidRPr="7649E722">
        <w:rPr>
          <w:noProof/>
          <w:lang w:val="en-IE"/>
        </w:rPr>
        <w:t xml:space="preserve"> in June 2026</w:t>
      </w:r>
      <w:r w:rsidRPr="7649E722">
        <w:rPr>
          <w:noProof/>
          <w:lang w:val="en-IE"/>
        </w:rPr>
        <w:t xml:space="preserve">. </w:t>
      </w:r>
      <w:r w:rsidR="71285526">
        <w:rPr>
          <w:noProof/>
        </w:rPr>
        <w:t xml:space="preserve"> </w:t>
      </w:r>
      <w:r w:rsidRPr="1147A670">
        <w:rPr>
          <w:noProof/>
          <w:lang w:val="en-IE"/>
        </w:rPr>
        <w:t>Meanwhile, the protection of journalistic sources has been identified as an area of ongoing concern from stakeholders notably due to the broad interpretation of “overriding public interest” exceptions. A judgment of 17 March 2026 by the Court of Cassation</w:t>
      </w:r>
      <w:r w:rsidR="00AD63B1" w:rsidRPr="4B21BCCF">
        <w:rPr>
          <w:rStyle w:val="FootnoteReference"/>
          <w:rFonts w:asciiTheme="minorHAnsi" w:eastAsiaTheme="minorEastAsia" w:hAnsiTheme="minorHAnsi"/>
          <w:noProof/>
          <w:lang w:val="en-IE"/>
        </w:rPr>
        <w:footnoteReference w:id="123"/>
      </w:r>
      <w:r w:rsidR="00420D1B">
        <w:rPr>
          <w:noProof/>
          <w:lang w:val="en-IE"/>
        </w:rPr>
        <w:t xml:space="preserve"> </w:t>
      </w:r>
      <w:r w:rsidR="00420D1B" w:rsidRPr="7649E722">
        <w:rPr>
          <w:noProof/>
          <w:lang w:val="en-IE"/>
        </w:rPr>
        <w:t>clarified that journalists may invoke source protection regardless of where their material is seized, including outside professional premises such as in public places, which was welcomed as an important clarification by stakeholders</w:t>
      </w:r>
      <w:r w:rsidR="00AD63B1" w:rsidRPr="7649E722">
        <w:rPr>
          <w:rStyle w:val="FootnoteReference"/>
          <w:noProof/>
          <w:lang w:val="en-IE"/>
        </w:rPr>
        <w:footnoteReference w:id="124"/>
      </w:r>
      <w:r w:rsidR="00011823">
        <w:rPr>
          <w:noProof/>
          <w:lang w:val="en-IE"/>
        </w:rPr>
        <w:t xml:space="preserve">. </w:t>
      </w:r>
      <w:r w:rsidR="008E3494" w:rsidRPr="7649E722">
        <w:rPr>
          <w:noProof/>
          <w:lang w:val="en-IE"/>
        </w:rPr>
        <w:t xml:space="preserve">Concerning the safety of journalists, </w:t>
      </w:r>
      <w:r w:rsidRPr="7649E722">
        <w:rPr>
          <w:noProof/>
          <w:lang w:val="en-IE"/>
        </w:rPr>
        <w:t>stakeholders pointed to instances of violence and intimidation against journalists and media outlets, including local media</w:t>
      </w:r>
      <w:r>
        <w:rPr>
          <w:noProof/>
        </w:rPr>
        <w:t>. More broadly, concerns persist regarding</w:t>
      </w:r>
      <w:r w:rsidR="00AD63B1" w:rsidRPr="7649E722">
        <w:rPr>
          <w:rStyle w:val="FootnoteReference"/>
          <w:noProof/>
        </w:rPr>
        <w:footnoteReference w:id="125"/>
      </w:r>
      <w:r w:rsidR="00774E18">
        <w:rPr>
          <w:noProof/>
        </w:rPr>
        <w:t xml:space="preserve"> </w:t>
      </w:r>
      <w:r w:rsidR="006611C2" w:rsidRPr="7649E722">
        <w:rPr>
          <w:noProof/>
        </w:rPr>
        <w:t xml:space="preserve">violence during demonstrations, while the National policing scheme (SNMO), provides for specific safeguards. The law aiming to transpose the anti-SLAPP Directive has been adopted in May 2026 and covers both cross-border and domestic cases. </w:t>
      </w:r>
      <w:r w:rsidRPr="1147A670">
        <w:rPr>
          <w:noProof/>
          <w:lang w:val="en-IE"/>
        </w:rPr>
        <w:t>Stakeholders also highlighted an increase in strategic lawsuits against public participation (SLAPPs), particularly targeting local and investigative media, contributing to financial strain and risks of self-censorship</w:t>
      </w:r>
      <w:r w:rsidR="00AD63B1" w:rsidRPr="7649E722">
        <w:rPr>
          <w:rStyle w:val="FootnoteReference"/>
          <w:noProof/>
          <w:lang w:val="en-IE"/>
        </w:rPr>
        <w:footnoteReference w:id="126"/>
      </w:r>
      <w:r w:rsidRPr="1147A670">
        <w:rPr>
          <w:noProof/>
          <w:lang w:val="en-IE"/>
        </w:rPr>
        <w:t xml:space="preserve">. </w:t>
      </w:r>
      <w:r w:rsidR="009C0F18" w:rsidRPr="7649E722">
        <w:rPr>
          <w:noProof/>
          <w:lang w:val="en-IE"/>
        </w:rPr>
        <w:t>Since the 2025 Rule of Law Report, 24 new alerts have been recorded on the Council of Europe’s Platform to promote the protection of journalism and safety of journalists</w:t>
      </w:r>
      <w:r w:rsidR="009C0F18" w:rsidRPr="7649E722">
        <w:rPr>
          <w:rStyle w:val="FootnoteReference"/>
          <w:noProof/>
          <w:lang w:val="en-IE"/>
        </w:rPr>
        <w:footnoteReference w:id="127"/>
      </w:r>
      <w:r w:rsidR="009C0F18" w:rsidRPr="7649E722">
        <w:rPr>
          <w:noProof/>
          <w:lang w:val="en-IE"/>
        </w:rPr>
        <w:t xml:space="preserve">. </w:t>
      </w:r>
      <w:r w:rsidRPr="1147A670">
        <w:rPr>
          <w:noProof/>
          <w:lang w:val="en-IE"/>
        </w:rPr>
        <w:t>The Media Freedom Rapid Response mechanism has identified 92 alerts. These alerts include harassment</w:t>
      </w:r>
      <w:r w:rsidRPr="7649E722">
        <w:rPr>
          <w:noProof/>
          <w:lang w:val="en-IE"/>
        </w:rPr>
        <w:t xml:space="preserve"> and threats</w:t>
      </w:r>
      <w:r w:rsidR="000F2A41" w:rsidRPr="7649E722">
        <w:rPr>
          <w:rStyle w:val="FootnoteReference"/>
          <w:noProof/>
          <w:lang w:val="en-IE"/>
        </w:rPr>
        <w:footnoteReference w:id="128"/>
      </w:r>
      <w:r w:rsidRPr="7649E722">
        <w:rPr>
          <w:noProof/>
          <w:lang w:val="en-IE"/>
        </w:rPr>
        <w:t>.</w:t>
      </w:r>
    </w:p>
    <w:p w14:paraId="7455F10B" w14:textId="77777777" w:rsidR="00AD63B1" w:rsidRPr="00AD63B1" w:rsidRDefault="00AD63B1" w:rsidP="00613FAD">
      <w:pPr>
        <w:pStyle w:val="Heading1"/>
        <w:numPr>
          <w:ilvl w:val="0"/>
          <w:numId w:val="33"/>
        </w:numPr>
        <w:spacing w:before="0"/>
        <w:rPr>
          <w:noProof/>
          <w:u w:val="single"/>
          <w:lang w:val="en-IE"/>
        </w:rPr>
      </w:pPr>
      <w:r w:rsidRPr="00AD63B1">
        <w:rPr>
          <w:noProof/>
          <w:u w:val="single"/>
          <w:lang w:val="en-IE"/>
        </w:rPr>
        <w:t>Other Institutional Issues related to Checks and Balances</w:t>
      </w:r>
    </w:p>
    <w:p w14:paraId="200D1E85" w14:textId="77777777" w:rsidR="00AD63B1" w:rsidRDefault="00AD63B1" w:rsidP="00AD63B1">
      <w:pPr>
        <w:spacing w:after="160"/>
        <w:rPr>
          <w:noProof/>
          <w:lang w:val="en-IE" w:eastAsia="fr-FR"/>
        </w:rPr>
      </w:pPr>
      <w:r>
        <w:rPr>
          <w:b/>
          <w:bCs/>
          <w:noProof/>
          <w:lang w:val="en-IE" w:eastAsia="fr-FR"/>
        </w:rPr>
        <w:t>S</w:t>
      </w:r>
      <w:r w:rsidRPr="004F596D">
        <w:rPr>
          <w:b/>
          <w:bCs/>
          <w:noProof/>
          <w:lang w:val="en-IE" w:eastAsia="fr-FR"/>
        </w:rPr>
        <w:t>takeholder engagement in law making</w:t>
      </w:r>
      <w:r>
        <w:rPr>
          <w:b/>
          <w:bCs/>
          <w:noProof/>
          <w:lang w:val="en-IE" w:eastAsia="fr-FR"/>
        </w:rPr>
        <w:t xml:space="preserve"> is stable,</w:t>
      </w:r>
      <w:r w:rsidRPr="004F596D">
        <w:rPr>
          <w:b/>
          <w:bCs/>
          <w:noProof/>
          <w:lang w:val="en-IE" w:eastAsia="fr-FR"/>
        </w:rPr>
        <w:t xml:space="preserve"> </w:t>
      </w:r>
      <w:r>
        <w:rPr>
          <w:b/>
          <w:bCs/>
          <w:noProof/>
          <w:lang w:val="en-IE" w:eastAsia="fr-FR"/>
        </w:rPr>
        <w:t>while</w:t>
      </w:r>
      <w:r w:rsidRPr="004F596D">
        <w:rPr>
          <w:b/>
          <w:bCs/>
          <w:noProof/>
          <w:lang w:val="en-IE" w:eastAsia="fr-FR"/>
        </w:rPr>
        <w:t xml:space="preserve"> the reduction of </w:t>
      </w:r>
      <w:r>
        <w:rPr>
          <w:b/>
          <w:bCs/>
          <w:noProof/>
          <w:lang w:val="en-IE" w:eastAsia="fr-FR"/>
        </w:rPr>
        <w:t xml:space="preserve">legislative and </w:t>
      </w:r>
      <w:r w:rsidRPr="004F596D">
        <w:rPr>
          <w:b/>
          <w:bCs/>
          <w:noProof/>
          <w:lang w:val="en-IE" w:eastAsia="fr-FR"/>
        </w:rPr>
        <w:t>administrative burden</w:t>
      </w:r>
      <w:r>
        <w:rPr>
          <w:b/>
          <w:bCs/>
          <w:noProof/>
          <w:lang w:val="en-IE" w:eastAsia="fr-FR"/>
        </w:rPr>
        <w:t>s</w:t>
      </w:r>
      <w:r w:rsidRPr="004F596D">
        <w:rPr>
          <w:b/>
          <w:bCs/>
          <w:noProof/>
          <w:lang w:val="en-IE" w:eastAsia="fr-FR"/>
        </w:rPr>
        <w:t xml:space="preserve"> remains an important priority for the Government.</w:t>
      </w:r>
      <w:r>
        <w:rPr>
          <w:b/>
          <w:bCs/>
          <w:noProof/>
          <w:lang w:val="en-IE" w:eastAsia="fr-FR"/>
        </w:rPr>
        <w:t xml:space="preserve"> </w:t>
      </w:r>
      <w:r>
        <w:rPr>
          <w:noProof/>
          <w:lang w:eastAsia="fr-FR"/>
        </w:rPr>
        <w:t>According to the OECD</w:t>
      </w:r>
      <w:r w:rsidRPr="004F596D">
        <w:rPr>
          <w:rStyle w:val="FootnoteReference"/>
          <w:noProof/>
          <w:lang w:val="en-IE" w:eastAsia="fr-FR"/>
        </w:rPr>
        <w:footnoteReference w:id="129"/>
      </w:r>
      <w:r w:rsidRPr="005B710C">
        <w:rPr>
          <w:noProof/>
          <w:lang w:eastAsia="fr-FR"/>
        </w:rPr>
        <w:t>, consultations with selected groups take place frequently</w:t>
      </w:r>
      <w:r>
        <w:rPr>
          <w:noProof/>
          <w:lang w:eastAsia="fr-FR"/>
        </w:rPr>
        <w:t xml:space="preserve"> and public consultations are accessible online.</w:t>
      </w:r>
      <w:r>
        <w:rPr>
          <w:b/>
          <w:bCs/>
          <w:noProof/>
          <w:lang w:eastAsia="fr-FR"/>
        </w:rPr>
        <w:t xml:space="preserve"> </w:t>
      </w:r>
      <w:r>
        <w:rPr>
          <w:noProof/>
          <w:lang w:val="en-IE" w:eastAsia="fr-FR"/>
        </w:rPr>
        <w:t>S</w:t>
      </w:r>
      <w:r w:rsidRPr="004F596D">
        <w:rPr>
          <w:noProof/>
          <w:lang w:val="en-IE" w:eastAsia="fr-FR"/>
        </w:rPr>
        <w:t>takeholders’ engagement is slightly stronger for subordinate regulation than for primary legislation</w:t>
      </w:r>
      <w:r>
        <w:rPr>
          <w:rStyle w:val="FootnoteReference"/>
          <w:noProof/>
          <w:lang w:val="en-IE" w:eastAsia="fr-FR"/>
        </w:rPr>
        <w:footnoteReference w:id="130"/>
      </w:r>
      <w:r>
        <w:rPr>
          <w:noProof/>
          <w:lang w:val="en-IE" w:eastAsia="fr-FR"/>
        </w:rPr>
        <w:t>, which is often adopted through accelerated procedures in the Parliament</w:t>
      </w:r>
      <w:r>
        <w:rPr>
          <w:rStyle w:val="FootnoteReference"/>
          <w:noProof/>
          <w:lang w:val="en-IE" w:eastAsia="fr-FR"/>
        </w:rPr>
        <w:footnoteReference w:id="131"/>
      </w:r>
      <w:r>
        <w:rPr>
          <w:noProof/>
          <w:lang w:val="en-IE" w:eastAsia="fr-FR"/>
        </w:rPr>
        <w:t xml:space="preserve">. </w:t>
      </w:r>
      <w:r w:rsidRPr="559E762B">
        <w:rPr>
          <w:noProof/>
          <w:lang w:val="en-IE" w:eastAsia="fr-FR"/>
        </w:rPr>
        <w:t>The</w:t>
      </w:r>
      <w:r>
        <w:rPr>
          <w:noProof/>
          <w:lang w:val="en-IE" w:eastAsia="fr-FR"/>
        </w:rPr>
        <w:t xml:space="preserve"> Government has not used the</w:t>
      </w:r>
      <w:r w:rsidRPr="559E762B">
        <w:rPr>
          <w:noProof/>
          <w:lang w:val="en-IE" w:eastAsia="fr-FR"/>
        </w:rPr>
        <w:t xml:space="preserve"> Agora application, which allows citizens to give their opinion on specific public policies, </w:t>
      </w:r>
      <w:r>
        <w:rPr>
          <w:noProof/>
          <w:lang w:val="en-IE" w:eastAsia="fr-FR"/>
        </w:rPr>
        <w:t>between July</w:t>
      </w:r>
      <w:r w:rsidRPr="559E762B">
        <w:rPr>
          <w:noProof/>
          <w:lang w:val="en-IE" w:eastAsia="fr-FR"/>
        </w:rPr>
        <w:t xml:space="preserve"> 2024 </w:t>
      </w:r>
      <w:r>
        <w:rPr>
          <w:noProof/>
          <w:lang w:val="en-IE" w:eastAsia="fr-FR"/>
        </w:rPr>
        <w:t>and</w:t>
      </w:r>
      <w:r w:rsidRPr="559E762B">
        <w:rPr>
          <w:noProof/>
          <w:lang w:val="en-IE" w:eastAsia="fr-FR"/>
        </w:rPr>
        <w:t xml:space="preserve"> July 2025</w:t>
      </w:r>
      <w:r>
        <w:rPr>
          <w:noProof/>
          <w:lang w:val="en-IE" w:eastAsia="fr-FR"/>
        </w:rPr>
        <w:t xml:space="preserve">. Since then, </w:t>
      </w:r>
      <w:r w:rsidRPr="559E762B">
        <w:rPr>
          <w:noProof/>
          <w:lang w:val="en-IE" w:eastAsia="fr-FR"/>
        </w:rPr>
        <w:t xml:space="preserve">citizens were consulted on 7 topics, </w:t>
      </w:r>
      <w:r>
        <w:rPr>
          <w:noProof/>
          <w:lang w:val="en-IE" w:eastAsia="fr-FR"/>
        </w:rPr>
        <w:t>and</w:t>
      </w:r>
      <w:r w:rsidRPr="559E762B">
        <w:rPr>
          <w:noProof/>
          <w:lang w:val="en-IE" w:eastAsia="fr-FR"/>
        </w:rPr>
        <w:t xml:space="preserve"> 27</w:t>
      </w:r>
      <w:r>
        <w:rPr>
          <w:noProof/>
          <w:lang w:val="en-IE" w:eastAsia="fr-FR"/>
        </w:rPr>
        <w:t> </w:t>
      </w:r>
      <w:r w:rsidRPr="559E762B">
        <w:rPr>
          <w:noProof/>
          <w:lang w:val="en-IE" w:eastAsia="fr-FR"/>
        </w:rPr>
        <w:t>000 replies</w:t>
      </w:r>
      <w:r>
        <w:rPr>
          <w:noProof/>
          <w:lang w:val="en-IE" w:eastAsia="fr-FR"/>
        </w:rPr>
        <w:t xml:space="preserve"> were submitted</w:t>
      </w:r>
      <w:r w:rsidRPr="559E762B">
        <w:rPr>
          <w:rStyle w:val="FootnoteReference"/>
          <w:noProof/>
          <w:lang w:val="en-IE" w:eastAsia="fr-FR"/>
        </w:rPr>
        <w:footnoteReference w:id="132"/>
      </w:r>
      <w:r w:rsidRPr="559E762B">
        <w:rPr>
          <w:noProof/>
          <w:lang w:val="en-IE" w:eastAsia="fr-FR"/>
        </w:rPr>
        <w:t xml:space="preserve">. The Government organised citizens’ conventions on different topics, where around 130 citizens </w:t>
      </w:r>
      <w:r>
        <w:rPr>
          <w:noProof/>
          <w:lang w:val="en-IE" w:eastAsia="fr-FR"/>
        </w:rPr>
        <w:t>were</w:t>
      </w:r>
      <w:r w:rsidRPr="559E762B">
        <w:rPr>
          <w:noProof/>
          <w:lang w:val="en-IE" w:eastAsia="fr-FR"/>
        </w:rPr>
        <w:t xml:space="preserve"> randomly selected to participate. According</w:t>
      </w:r>
      <w:r w:rsidRPr="559E762B">
        <w:rPr>
          <w:b/>
          <w:bCs/>
          <w:noProof/>
          <w:lang w:val="en-IE" w:eastAsia="fr-FR"/>
        </w:rPr>
        <w:t xml:space="preserve"> </w:t>
      </w:r>
      <w:r w:rsidRPr="559E762B">
        <w:rPr>
          <w:noProof/>
          <w:lang w:val="en-IE" w:eastAsia="fr-FR"/>
        </w:rPr>
        <w:t>to the</w:t>
      </w:r>
      <w:r>
        <w:rPr>
          <w:noProof/>
          <w:lang w:val="en-IE" w:eastAsia="fr-FR"/>
        </w:rPr>
        <w:t xml:space="preserve"> National Consultative Commission on Human Rights</w:t>
      </w:r>
      <w:r w:rsidRPr="559E762B">
        <w:rPr>
          <w:noProof/>
          <w:lang w:val="en-IE" w:eastAsia="fr-FR"/>
        </w:rPr>
        <w:t xml:space="preserve"> </w:t>
      </w:r>
      <w:r>
        <w:rPr>
          <w:noProof/>
          <w:lang w:val="en-IE" w:eastAsia="fr-FR"/>
        </w:rPr>
        <w:t>(</w:t>
      </w:r>
      <w:r w:rsidRPr="559E762B">
        <w:rPr>
          <w:noProof/>
          <w:lang w:val="en-IE" w:eastAsia="fr-FR"/>
        </w:rPr>
        <w:t>CNCDH</w:t>
      </w:r>
      <w:r>
        <w:rPr>
          <w:noProof/>
          <w:lang w:val="en-IE" w:eastAsia="fr-FR"/>
        </w:rPr>
        <w:t>)</w:t>
      </w:r>
      <w:r>
        <w:rPr>
          <w:rStyle w:val="FootnoteReference"/>
          <w:noProof/>
          <w:lang w:val="en-IE" w:eastAsia="fr-FR"/>
        </w:rPr>
        <w:footnoteReference w:id="133"/>
      </w:r>
      <w:r>
        <w:rPr>
          <w:noProof/>
          <w:lang w:val="en-IE" w:eastAsia="fr-FR"/>
        </w:rPr>
        <w:t>, the Fundamental Rights Agency (FRA)</w:t>
      </w:r>
      <w:r>
        <w:rPr>
          <w:rStyle w:val="FootnoteReference"/>
          <w:noProof/>
          <w:lang w:val="en-IE" w:eastAsia="fr-FR"/>
        </w:rPr>
        <w:footnoteReference w:id="134"/>
      </w:r>
      <w:r>
        <w:rPr>
          <w:noProof/>
          <w:lang w:val="en-IE" w:eastAsia="fr-FR"/>
        </w:rPr>
        <w:t xml:space="preserve"> </w:t>
      </w:r>
      <w:r w:rsidRPr="559E762B">
        <w:rPr>
          <w:noProof/>
          <w:lang w:val="en-IE" w:eastAsia="fr-FR"/>
        </w:rPr>
        <w:t>and the European Civic Forum</w:t>
      </w:r>
      <w:r w:rsidRPr="559E762B">
        <w:rPr>
          <w:rStyle w:val="FootnoteReference"/>
          <w:noProof/>
          <w:lang w:val="en-IE" w:eastAsia="fr-FR"/>
        </w:rPr>
        <w:footnoteReference w:id="135"/>
      </w:r>
      <w:r w:rsidRPr="559E762B">
        <w:rPr>
          <w:noProof/>
          <w:lang w:val="en-IE" w:eastAsia="fr-FR"/>
        </w:rPr>
        <w:t>,</w:t>
      </w:r>
      <w:r w:rsidRPr="559E762B">
        <w:rPr>
          <w:b/>
          <w:bCs/>
          <w:noProof/>
          <w:lang w:val="en-IE" w:eastAsia="fr-FR"/>
        </w:rPr>
        <w:t xml:space="preserve"> </w:t>
      </w:r>
      <w:r w:rsidRPr="559E762B">
        <w:rPr>
          <w:noProof/>
          <w:lang w:val="en-IE" w:eastAsia="fr-FR"/>
        </w:rPr>
        <w:t xml:space="preserve">despite frequent consultations, citizens’ recommendations have </w:t>
      </w:r>
      <w:r>
        <w:rPr>
          <w:noProof/>
          <w:lang w:val="en-IE" w:eastAsia="fr-FR"/>
        </w:rPr>
        <w:t>limited</w:t>
      </w:r>
      <w:r w:rsidRPr="559E762B">
        <w:rPr>
          <w:noProof/>
          <w:lang w:val="en-IE" w:eastAsia="fr-FR"/>
        </w:rPr>
        <w:t xml:space="preserve"> influence</w:t>
      </w:r>
      <w:r>
        <w:rPr>
          <w:noProof/>
          <w:lang w:val="en-IE" w:eastAsia="fr-FR"/>
        </w:rPr>
        <w:t xml:space="preserve">. </w:t>
      </w:r>
      <w:r>
        <w:rPr>
          <w:noProof/>
        </w:rPr>
        <w:t>In their view,</w:t>
      </w:r>
      <w:r w:rsidRPr="00584CB2">
        <w:rPr>
          <w:noProof/>
        </w:rPr>
        <w:t xml:space="preserve"> public consultation</w:t>
      </w:r>
      <w:r>
        <w:rPr>
          <w:noProof/>
        </w:rPr>
        <w:t>s</w:t>
      </w:r>
      <w:r w:rsidRPr="00584CB2">
        <w:rPr>
          <w:noProof/>
        </w:rPr>
        <w:t xml:space="preserve"> </w:t>
      </w:r>
      <w:r>
        <w:rPr>
          <w:noProof/>
        </w:rPr>
        <w:t xml:space="preserve">are </w:t>
      </w:r>
      <w:r w:rsidRPr="00584CB2">
        <w:rPr>
          <w:noProof/>
        </w:rPr>
        <w:t xml:space="preserve">often a </w:t>
      </w:r>
      <w:r>
        <w:rPr>
          <w:noProof/>
        </w:rPr>
        <w:t>formal exercise</w:t>
      </w:r>
      <w:r w:rsidRPr="559E762B">
        <w:rPr>
          <w:rStyle w:val="FootnoteReference"/>
          <w:noProof/>
          <w:lang w:val="en-IE" w:eastAsia="fr-FR"/>
        </w:rPr>
        <w:footnoteReference w:id="136"/>
      </w:r>
      <w:r>
        <w:rPr>
          <w:noProof/>
        </w:rPr>
        <w:t>.</w:t>
      </w:r>
      <w:r w:rsidRPr="559E762B">
        <w:rPr>
          <w:noProof/>
          <w:lang w:val="en-IE" w:eastAsia="fr-FR"/>
        </w:rPr>
        <w:t xml:space="preserve"> SMEs</w:t>
      </w:r>
      <w:r>
        <w:rPr>
          <w:noProof/>
          <w:lang w:val="en-IE" w:eastAsia="fr-FR"/>
        </w:rPr>
        <w:t xml:space="preserve"> have been </w:t>
      </w:r>
      <w:r w:rsidRPr="559E762B">
        <w:rPr>
          <w:noProof/>
          <w:lang w:val="en-IE" w:eastAsia="fr-FR"/>
        </w:rPr>
        <w:t>increasingly consulted on draft laws and proposals</w:t>
      </w:r>
      <w:r w:rsidRPr="559E762B">
        <w:rPr>
          <w:rStyle w:val="FootnoteReference"/>
          <w:noProof/>
          <w:lang w:val="en-IE" w:eastAsia="fr-FR"/>
        </w:rPr>
        <w:footnoteReference w:id="137"/>
      </w:r>
      <w:r w:rsidRPr="559E762B">
        <w:rPr>
          <w:noProof/>
          <w:lang w:val="en-IE" w:eastAsia="fr-FR"/>
        </w:rPr>
        <w:t xml:space="preserve">. </w:t>
      </w:r>
      <w:r>
        <w:rPr>
          <w:noProof/>
          <w:lang w:val="en-IE" w:eastAsia="fr-FR"/>
        </w:rPr>
        <w:t>Businesses still</w:t>
      </w:r>
      <w:r w:rsidRPr="004F596D">
        <w:rPr>
          <w:noProof/>
          <w:lang w:val="en-IE" w:eastAsia="fr-FR"/>
        </w:rPr>
        <w:t xml:space="preserve"> face</w:t>
      </w:r>
      <w:r>
        <w:rPr>
          <w:noProof/>
          <w:lang w:val="en-IE" w:eastAsia="fr-FR"/>
        </w:rPr>
        <w:t xml:space="preserve"> some </w:t>
      </w:r>
      <w:r w:rsidRPr="004F596D">
        <w:rPr>
          <w:noProof/>
          <w:lang w:val="en-IE" w:eastAsia="fr-FR"/>
        </w:rPr>
        <w:t xml:space="preserve">challenges related to </w:t>
      </w:r>
      <w:r>
        <w:rPr>
          <w:noProof/>
          <w:lang w:val="en-IE" w:eastAsia="fr-FR"/>
        </w:rPr>
        <w:t>legislative</w:t>
      </w:r>
      <w:r w:rsidRPr="004F596D">
        <w:rPr>
          <w:noProof/>
          <w:lang w:val="en-IE" w:eastAsia="fr-FR"/>
        </w:rPr>
        <w:t xml:space="preserve"> and administrative burden</w:t>
      </w:r>
      <w:r>
        <w:rPr>
          <w:noProof/>
          <w:lang w:val="en-IE" w:eastAsia="fr-FR"/>
        </w:rPr>
        <w:t>s, which they see sometimes as an obstacle to investment</w:t>
      </w:r>
      <w:r>
        <w:rPr>
          <w:rStyle w:val="FootnoteReference"/>
          <w:noProof/>
          <w:lang w:val="en-IE" w:eastAsia="fr-FR"/>
        </w:rPr>
        <w:footnoteReference w:id="138"/>
      </w:r>
      <w:r>
        <w:rPr>
          <w:noProof/>
          <w:lang w:val="en-IE" w:eastAsia="fr-FR"/>
        </w:rPr>
        <w:t xml:space="preserve">. </w:t>
      </w:r>
      <w:r>
        <w:rPr>
          <w:noProof/>
        </w:rPr>
        <w:t>However, several steps have been taken to improve the situation. Businesses have actively participated in a consultation on simplifying their administrative obligations</w:t>
      </w:r>
      <w:r>
        <w:rPr>
          <w:rStyle w:val="FootnoteReference"/>
          <w:noProof/>
        </w:rPr>
        <w:footnoteReference w:id="139"/>
      </w:r>
      <w:r>
        <w:rPr>
          <w:noProof/>
        </w:rPr>
        <w:t>, leading to the adoption of new legislation</w:t>
      </w:r>
      <w:r>
        <w:rPr>
          <w:rStyle w:val="FootnoteReference"/>
          <w:noProof/>
        </w:rPr>
        <w:footnoteReference w:id="140"/>
      </w:r>
      <w:r>
        <w:rPr>
          <w:noProof/>
        </w:rPr>
        <w:t xml:space="preserve">, which </w:t>
      </w:r>
      <w:r w:rsidRPr="00A82C90">
        <w:rPr>
          <w:noProof/>
        </w:rPr>
        <w:t xml:space="preserve">contains </w:t>
      </w:r>
      <w:r>
        <w:rPr>
          <w:noProof/>
        </w:rPr>
        <w:t>twenty-six</w:t>
      </w:r>
      <w:r w:rsidRPr="00A82C90">
        <w:rPr>
          <w:noProof/>
        </w:rPr>
        <w:t xml:space="preserve"> simplification measures for businesses. </w:t>
      </w:r>
      <w:r>
        <w:rPr>
          <w:noProof/>
        </w:rPr>
        <w:t>The law</w:t>
      </w:r>
      <w:r w:rsidRPr="00A82C90">
        <w:rPr>
          <w:noProof/>
        </w:rPr>
        <w:t xml:space="preserve"> has three objectives: reduc</w:t>
      </w:r>
      <w:r>
        <w:rPr>
          <w:noProof/>
        </w:rPr>
        <w:t>ing</w:t>
      </w:r>
      <w:r w:rsidRPr="00A82C90">
        <w:rPr>
          <w:noProof/>
        </w:rPr>
        <w:t xml:space="preserve"> the burden of administrative procedures, review</w:t>
      </w:r>
      <w:r>
        <w:rPr>
          <w:noProof/>
        </w:rPr>
        <w:t>ing</w:t>
      </w:r>
      <w:r w:rsidRPr="00A82C90">
        <w:rPr>
          <w:noProof/>
        </w:rPr>
        <w:t xml:space="preserve"> the relationship between administration and business and streamlin</w:t>
      </w:r>
      <w:r>
        <w:rPr>
          <w:noProof/>
        </w:rPr>
        <w:t>ing</w:t>
      </w:r>
      <w:r w:rsidRPr="00A82C90">
        <w:rPr>
          <w:noProof/>
        </w:rPr>
        <w:t xml:space="preserve"> the </w:t>
      </w:r>
      <w:r>
        <w:rPr>
          <w:noProof/>
        </w:rPr>
        <w:t>procedures</w:t>
      </w:r>
      <w:r w:rsidRPr="00A82C90">
        <w:rPr>
          <w:noProof/>
        </w:rPr>
        <w:t>.</w:t>
      </w:r>
    </w:p>
    <w:p w14:paraId="3258A0F8" w14:textId="77777777" w:rsidR="00AD63B1" w:rsidRPr="00EB7243" w:rsidRDefault="00AD63B1" w:rsidP="00AD63B1">
      <w:pPr>
        <w:rPr>
          <w:rFonts w:eastAsia="Calibri"/>
          <w:noProof/>
        </w:rPr>
      </w:pPr>
      <w:r>
        <w:rPr>
          <w:b/>
          <w:bCs/>
          <w:noProof/>
          <w:lang w:eastAsia="fr-FR"/>
        </w:rPr>
        <w:t xml:space="preserve">More than half of companies surveyed in France express confidence in the effectiveness of investment protection. </w:t>
      </w:r>
      <w:r>
        <w:rPr>
          <w:rFonts w:eastAsia="Calibri"/>
          <w:noProof/>
        </w:rPr>
        <w:t>61</w:t>
      </w:r>
      <w:r w:rsidRPr="00E60A3F">
        <w:rPr>
          <w:rFonts w:eastAsia="Calibri"/>
          <w:noProof/>
        </w:rPr>
        <w:t>% of companies are very or fairly confident that investments are protected by law and courts</w:t>
      </w:r>
      <w:r>
        <w:rPr>
          <w:rFonts w:eastAsia="Calibri"/>
          <w:noProof/>
        </w:rPr>
        <w:t>, a figure which has slightly decreased in comparison with 2025 (62%)</w:t>
      </w:r>
      <w:r w:rsidRPr="00E60A3F">
        <w:rPr>
          <w:rFonts w:eastAsia="Calibri"/>
          <w:noProof/>
          <w:vertAlign w:val="superscript"/>
        </w:rPr>
        <w:footnoteReference w:id="141"/>
      </w:r>
      <w:r w:rsidRPr="00E60A3F">
        <w:rPr>
          <w:rFonts w:eastAsia="Calibri"/>
          <w:noProof/>
        </w:rPr>
        <w:t xml:space="preserve">. As regards authorities relevant for economic operators, </w:t>
      </w:r>
      <w:r>
        <w:rPr>
          <w:rFonts w:eastAsia="Calibri"/>
          <w:noProof/>
        </w:rPr>
        <w:t>55</w:t>
      </w:r>
      <w:r w:rsidRPr="00E60A3F">
        <w:rPr>
          <w:rFonts w:eastAsia="Calibri"/>
          <w:noProof/>
        </w:rPr>
        <w:t>% perceive the level of independence of the national competition authority (French Competition Authority) as very or fairly good</w:t>
      </w:r>
      <w:r>
        <w:rPr>
          <w:rFonts w:eastAsia="Calibri"/>
          <w:noProof/>
        </w:rPr>
        <w:t>, a figure which has significantly decreased in comparison with 2025 (62%)</w:t>
      </w:r>
      <w:r w:rsidRPr="00E60A3F">
        <w:rPr>
          <w:rFonts w:eastAsia="Calibri"/>
          <w:noProof/>
          <w:vertAlign w:val="superscript"/>
        </w:rPr>
        <w:footnoteReference w:id="142"/>
      </w:r>
      <w:r w:rsidRPr="00E60A3F">
        <w:rPr>
          <w:rFonts w:eastAsia="Calibri"/>
          <w:noProof/>
        </w:rPr>
        <w:t xml:space="preserve">. </w:t>
      </w:r>
      <w:r w:rsidRPr="00D20E6B">
        <w:rPr>
          <w:rFonts w:eastAsia="Calibri"/>
          <w:noProof/>
          <w14:ligatures w14:val="standardContextual"/>
        </w:rPr>
        <w:t xml:space="preserve">The Council of State has jurisdiction in </w:t>
      </w:r>
      <w:r w:rsidRPr="00EB7243">
        <w:rPr>
          <w:rFonts w:eastAsia="Calibri"/>
          <w:noProof/>
          <w14:ligatures w14:val="standardContextual"/>
        </w:rPr>
        <w:t xml:space="preserve">several </w:t>
      </w:r>
      <w:r w:rsidRPr="00D20E6B">
        <w:rPr>
          <w:rFonts w:eastAsia="Calibri"/>
          <w:noProof/>
          <w14:ligatures w14:val="standardContextual"/>
        </w:rPr>
        <w:t xml:space="preserve">business-related cases, including in cases related to </w:t>
      </w:r>
      <w:r w:rsidRPr="00EB7243">
        <w:rPr>
          <w:rFonts w:eastAsia="Calibri"/>
          <w:noProof/>
          <w14:ligatures w14:val="standardContextual"/>
        </w:rPr>
        <w:t>public procurement, public concessions, public contracts and economic regulation</w:t>
      </w:r>
      <w:r w:rsidRPr="00D20E6B">
        <w:rPr>
          <w:rFonts w:eastAsia="Calibri"/>
          <w:noProof/>
          <w14:ligatures w14:val="standardContextual"/>
        </w:rPr>
        <w:t>. There are no judicial mechanisms to improve efficiency in these cases</w:t>
      </w:r>
      <w:r w:rsidRPr="00EB7243">
        <w:rPr>
          <w:rStyle w:val="FootnoteReference"/>
          <w:rFonts w:eastAsia="Calibri"/>
          <w:noProof/>
          <w14:ligatures w14:val="standardContextual"/>
        </w:rPr>
        <w:footnoteReference w:id="143"/>
      </w:r>
      <w:r w:rsidRPr="00D20E6B">
        <w:rPr>
          <w:rFonts w:eastAsia="Calibri"/>
          <w:noProof/>
          <w14:ligatures w14:val="standardContextual"/>
        </w:rPr>
        <w:t>.</w:t>
      </w:r>
    </w:p>
    <w:p w14:paraId="0D241CF8" w14:textId="01B8F0C8" w:rsidR="00AD63B1" w:rsidRPr="008336E0" w:rsidRDefault="00AD63B1" w:rsidP="00AD63B1">
      <w:pPr>
        <w:rPr>
          <w:b/>
          <w:bCs/>
          <w:noProof/>
          <w:lang w:val="en-IE"/>
        </w:rPr>
      </w:pPr>
      <w:r w:rsidRPr="0070440A">
        <w:rPr>
          <w:b/>
          <w:bCs/>
          <w:noProof/>
          <w:lang w:val="en-IE"/>
        </w:rPr>
        <w:t xml:space="preserve">On 1 January </w:t>
      </w:r>
      <w:r>
        <w:rPr>
          <w:b/>
          <w:bCs/>
          <w:noProof/>
          <w:lang w:val="en-IE"/>
        </w:rPr>
        <w:t>2026</w:t>
      </w:r>
      <w:r w:rsidRPr="0070440A">
        <w:rPr>
          <w:b/>
          <w:bCs/>
          <w:noProof/>
          <w:lang w:val="en-IE"/>
        </w:rPr>
        <w:t xml:space="preserve">, </w:t>
      </w:r>
      <w:r>
        <w:rPr>
          <w:b/>
          <w:bCs/>
          <w:noProof/>
          <w:lang w:val="en-IE"/>
        </w:rPr>
        <w:t>France</w:t>
      </w:r>
      <w:r w:rsidRPr="0070440A">
        <w:rPr>
          <w:b/>
          <w:bCs/>
          <w:noProof/>
          <w:lang w:val="en-IE"/>
        </w:rPr>
        <w:t xml:space="preserve"> had </w:t>
      </w:r>
      <w:r>
        <w:rPr>
          <w:b/>
          <w:bCs/>
          <w:noProof/>
          <w:lang w:val="en-IE"/>
        </w:rPr>
        <w:t xml:space="preserve">18 </w:t>
      </w:r>
      <w:r w:rsidRPr="0070440A">
        <w:rPr>
          <w:b/>
          <w:bCs/>
          <w:noProof/>
          <w:lang w:val="en-IE"/>
        </w:rPr>
        <w:t>leading judgments of the European Court of Human Rights pending implementation, a</w:t>
      </w:r>
      <w:r w:rsidRPr="7649E722">
        <w:rPr>
          <w:b/>
          <w:bCs/>
          <w:noProof/>
          <w:lang w:val="en-IE"/>
        </w:rPr>
        <w:t xml:space="preserve"> decrease</w:t>
      </w:r>
      <w:r w:rsidRPr="0070440A">
        <w:rPr>
          <w:b/>
          <w:bCs/>
          <w:noProof/>
          <w:lang w:val="en-IE"/>
        </w:rPr>
        <w:t xml:space="preserve"> of </w:t>
      </w:r>
      <w:r w:rsidR="00BB277A">
        <w:rPr>
          <w:b/>
          <w:bCs/>
          <w:noProof/>
          <w:lang w:val="en-IE"/>
        </w:rPr>
        <w:t>8</w:t>
      </w:r>
      <w:r w:rsidR="00BA0DBA" w:rsidRPr="7649E722">
        <w:rPr>
          <w:b/>
          <w:bCs/>
          <w:noProof/>
          <w:lang w:val="en-IE"/>
        </w:rPr>
        <w:t xml:space="preserve"> </w:t>
      </w:r>
      <w:r w:rsidRPr="0070440A">
        <w:rPr>
          <w:b/>
          <w:bCs/>
          <w:noProof/>
          <w:lang w:val="en-IE"/>
        </w:rPr>
        <w:t>compared to the previous year</w:t>
      </w:r>
      <w:r w:rsidRPr="0070440A">
        <w:rPr>
          <w:rStyle w:val="FootnoteReference"/>
          <w:b/>
          <w:bCs/>
          <w:noProof/>
        </w:rPr>
        <w:footnoteReference w:id="144"/>
      </w:r>
      <w:r w:rsidRPr="0070440A">
        <w:rPr>
          <w:b/>
          <w:bCs/>
          <w:noProof/>
          <w:lang w:val="en-IE"/>
        </w:rPr>
        <w:t xml:space="preserve">. </w:t>
      </w:r>
      <w:r w:rsidRPr="0070440A">
        <w:rPr>
          <w:noProof/>
          <w:lang w:val="en-IE"/>
        </w:rPr>
        <w:t xml:space="preserve">At that time, </w:t>
      </w:r>
      <w:r>
        <w:rPr>
          <w:noProof/>
          <w:lang w:val="en-IE"/>
        </w:rPr>
        <w:t>France’s</w:t>
      </w:r>
      <w:r w:rsidRPr="0070440A">
        <w:rPr>
          <w:noProof/>
          <w:lang w:val="en-IE"/>
        </w:rPr>
        <w:t xml:space="preserve"> rate of leading judgments from the past </w:t>
      </w:r>
      <w:r>
        <w:rPr>
          <w:noProof/>
          <w:lang w:val="en-IE"/>
        </w:rPr>
        <w:t>10</w:t>
      </w:r>
      <w:r w:rsidRPr="0070440A">
        <w:rPr>
          <w:noProof/>
          <w:lang w:val="en-IE"/>
        </w:rPr>
        <w:t xml:space="preserve"> years </w:t>
      </w:r>
      <w:r w:rsidRPr="00C25398">
        <w:rPr>
          <w:noProof/>
          <w:lang w:val="en-IE"/>
        </w:rPr>
        <w:t>that had been implemented was at</w:t>
      </w:r>
      <w:r w:rsidRPr="00C25398" w:rsidDel="003361E9">
        <w:rPr>
          <w:noProof/>
          <w:lang w:val="en-IE"/>
        </w:rPr>
        <w:t xml:space="preserve"> </w:t>
      </w:r>
      <w:r>
        <w:rPr>
          <w:noProof/>
          <w:lang w:val="en-IE"/>
        </w:rPr>
        <w:t>7</w:t>
      </w:r>
      <w:r w:rsidRPr="00C25398">
        <w:rPr>
          <w:noProof/>
          <w:lang w:val="en-IE"/>
        </w:rPr>
        <w:t xml:space="preserve">6% (compared to </w:t>
      </w:r>
      <w:r>
        <w:rPr>
          <w:noProof/>
          <w:lang w:val="en-IE"/>
        </w:rPr>
        <w:t>66</w:t>
      </w:r>
      <w:r w:rsidRPr="00C25398">
        <w:rPr>
          <w:noProof/>
          <w:lang w:val="en-IE"/>
        </w:rPr>
        <w:t>% in 202</w:t>
      </w:r>
      <w:r>
        <w:rPr>
          <w:noProof/>
          <w:lang w:val="en-IE"/>
        </w:rPr>
        <w:t>5</w:t>
      </w:r>
      <w:r w:rsidRPr="00C25398">
        <w:rPr>
          <w:noProof/>
          <w:lang w:val="en-IE"/>
        </w:rPr>
        <w:t xml:space="preserve">; </w:t>
      </w:r>
      <w:r>
        <w:rPr>
          <w:noProof/>
          <w:lang w:val="en-IE"/>
        </w:rPr>
        <w:t>24</w:t>
      </w:r>
      <w:r w:rsidRPr="00C25398">
        <w:rPr>
          <w:noProof/>
          <w:lang w:val="en-IE"/>
        </w:rPr>
        <w:t>% remained pending), and the average time that the judgments had been pending</w:t>
      </w:r>
      <w:r w:rsidRPr="0070440A">
        <w:rPr>
          <w:noProof/>
          <w:lang w:val="en-IE"/>
        </w:rPr>
        <w:t xml:space="preserve"> implementation was </w:t>
      </w:r>
      <w:r>
        <w:rPr>
          <w:noProof/>
          <w:lang w:val="en-IE"/>
        </w:rPr>
        <w:t xml:space="preserve">3 </w:t>
      </w:r>
      <w:r w:rsidRPr="0070440A">
        <w:rPr>
          <w:noProof/>
          <w:lang w:val="en-IE"/>
        </w:rPr>
        <w:t xml:space="preserve">years </w:t>
      </w:r>
      <w:r>
        <w:rPr>
          <w:noProof/>
          <w:lang w:val="en-IE"/>
        </w:rPr>
        <w:t xml:space="preserve">and 10 months </w:t>
      </w:r>
      <w:r w:rsidRPr="0070440A">
        <w:rPr>
          <w:noProof/>
          <w:lang w:val="en-IE"/>
        </w:rPr>
        <w:t xml:space="preserve">(compared to </w:t>
      </w:r>
      <w:r>
        <w:rPr>
          <w:noProof/>
          <w:lang w:val="en-IE"/>
        </w:rPr>
        <w:t xml:space="preserve">3 </w:t>
      </w:r>
      <w:r w:rsidRPr="0070440A">
        <w:rPr>
          <w:noProof/>
          <w:lang w:val="en-IE"/>
        </w:rPr>
        <w:t>years in 202</w:t>
      </w:r>
      <w:r w:rsidR="00294918">
        <w:rPr>
          <w:noProof/>
          <w:lang w:val="en-IE"/>
        </w:rPr>
        <w:t>5</w:t>
      </w:r>
      <w:r w:rsidRPr="0070440A">
        <w:rPr>
          <w:noProof/>
          <w:lang w:val="en-IE"/>
        </w:rPr>
        <w:t>)</w:t>
      </w:r>
      <w:r w:rsidRPr="0070440A">
        <w:rPr>
          <w:rStyle w:val="FootnoteReference"/>
          <w:noProof/>
        </w:rPr>
        <w:footnoteReference w:id="145"/>
      </w:r>
      <w:r w:rsidRPr="0070440A">
        <w:rPr>
          <w:noProof/>
          <w:lang w:val="en-IE"/>
        </w:rPr>
        <w:t xml:space="preserve">. The oldest leading judgment, pending implementation for </w:t>
      </w:r>
      <w:r>
        <w:rPr>
          <w:noProof/>
          <w:lang w:val="en-IE"/>
        </w:rPr>
        <w:t>almost 16</w:t>
      </w:r>
      <w:r w:rsidRPr="0070440A">
        <w:rPr>
          <w:noProof/>
          <w:lang w:val="en-IE"/>
        </w:rPr>
        <w:t xml:space="preserve"> years, </w:t>
      </w:r>
      <w:r w:rsidRPr="00E574DE">
        <w:rPr>
          <w:noProof/>
        </w:rPr>
        <w:t>concerns the inaction of the authorities in the execution of judiciary measures of expulsion regarding illegally occupied lands</w:t>
      </w:r>
      <w:r w:rsidRPr="00E757C5">
        <w:rPr>
          <w:rStyle w:val="FootnoteReference"/>
          <w:noProof/>
        </w:rPr>
        <w:footnoteReference w:id="146"/>
      </w:r>
      <w:r w:rsidRPr="00E757C5">
        <w:rPr>
          <w:noProof/>
          <w:lang w:val="en-IE"/>
        </w:rPr>
        <w:t>.</w:t>
      </w:r>
      <w:r w:rsidRPr="00E757C5">
        <w:rPr>
          <w:b/>
          <w:bCs/>
          <w:noProof/>
          <w:lang w:val="en-IE"/>
        </w:rPr>
        <w:t xml:space="preserve"> </w:t>
      </w:r>
      <w:r w:rsidRPr="00E757C5">
        <w:rPr>
          <w:noProof/>
          <w:lang w:val="en-IE"/>
        </w:rPr>
        <w:t>As regards the respect of payment deadlines, on 31 December 202</w:t>
      </w:r>
      <w:r>
        <w:rPr>
          <w:noProof/>
          <w:lang w:val="en-IE"/>
        </w:rPr>
        <w:t xml:space="preserve">5 </w:t>
      </w:r>
      <w:r w:rsidRPr="00E757C5">
        <w:rPr>
          <w:noProof/>
          <w:lang w:val="en-IE"/>
        </w:rPr>
        <w:t xml:space="preserve">there were </w:t>
      </w:r>
      <w:r>
        <w:rPr>
          <w:noProof/>
          <w:lang w:val="en-IE"/>
        </w:rPr>
        <w:t xml:space="preserve">6 </w:t>
      </w:r>
      <w:r w:rsidRPr="00E757C5">
        <w:rPr>
          <w:noProof/>
          <w:lang w:val="en-IE"/>
        </w:rPr>
        <w:t xml:space="preserve">cases in total awaiting confirmation of payments (compared to </w:t>
      </w:r>
      <w:r>
        <w:rPr>
          <w:noProof/>
          <w:lang w:val="en-IE"/>
        </w:rPr>
        <w:t>9</w:t>
      </w:r>
      <w:r w:rsidRPr="00E757C5">
        <w:rPr>
          <w:noProof/>
          <w:lang w:val="en-IE"/>
        </w:rPr>
        <w:t xml:space="preserve"> in 202</w:t>
      </w:r>
      <w:r>
        <w:rPr>
          <w:noProof/>
          <w:lang w:val="en-IE"/>
        </w:rPr>
        <w:t>4</w:t>
      </w:r>
      <w:r w:rsidRPr="00E757C5">
        <w:rPr>
          <w:noProof/>
          <w:lang w:val="en-IE"/>
        </w:rPr>
        <w:t>)</w:t>
      </w:r>
      <w:r w:rsidRPr="00E757C5">
        <w:rPr>
          <w:rStyle w:val="FootnoteReference"/>
          <w:noProof/>
        </w:rPr>
        <w:footnoteReference w:id="147"/>
      </w:r>
      <w:r w:rsidRPr="00E757C5">
        <w:rPr>
          <w:noProof/>
          <w:lang w:val="en-IE"/>
        </w:rPr>
        <w:t>.</w:t>
      </w:r>
      <w:r w:rsidRPr="0070440A">
        <w:rPr>
          <w:b/>
          <w:bCs/>
          <w:noProof/>
          <w:lang w:val="en-IE"/>
        </w:rPr>
        <w:t xml:space="preserve"> </w:t>
      </w:r>
      <w:r w:rsidR="00AB68CC">
        <w:rPr>
          <w:noProof/>
          <w:lang w:val="en-IE"/>
        </w:rPr>
        <w:t>On</w:t>
      </w:r>
      <w:r w:rsidR="00AB68CC" w:rsidRPr="0070440A">
        <w:rPr>
          <w:noProof/>
          <w:lang w:val="en-IE"/>
        </w:rPr>
        <w:t xml:space="preserve"> </w:t>
      </w:r>
      <w:r w:rsidR="00AB68CC">
        <w:rPr>
          <w:noProof/>
          <w:lang w:val="en-IE"/>
        </w:rPr>
        <w:t xml:space="preserve">17 </w:t>
      </w:r>
      <w:r>
        <w:rPr>
          <w:noProof/>
          <w:lang w:val="en-IE"/>
        </w:rPr>
        <w:t>June</w:t>
      </w:r>
      <w:r w:rsidRPr="0070440A">
        <w:rPr>
          <w:noProof/>
          <w:lang w:val="en-IE"/>
        </w:rPr>
        <w:t xml:space="preserve"> </w:t>
      </w:r>
      <w:r>
        <w:rPr>
          <w:noProof/>
          <w:lang w:val="en-IE"/>
        </w:rPr>
        <w:t>2026</w:t>
      </w:r>
      <w:r w:rsidRPr="0070440A">
        <w:rPr>
          <w:noProof/>
          <w:lang w:val="en-IE"/>
        </w:rPr>
        <w:t>, the number of leading judgments pending implementation had</w:t>
      </w:r>
      <w:r>
        <w:rPr>
          <w:noProof/>
          <w:lang w:val="en-IE"/>
        </w:rPr>
        <w:t xml:space="preserve"> remained </w:t>
      </w:r>
      <w:r w:rsidR="00222AD8">
        <w:rPr>
          <w:noProof/>
          <w:lang w:val="en-IE"/>
        </w:rPr>
        <w:t>at 18</w:t>
      </w:r>
      <w:r w:rsidRPr="0070440A">
        <w:rPr>
          <w:rStyle w:val="FootnoteReference"/>
          <w:noProof/>
        </w:rPr>
        <w:footnoteReference w:id="148"/>
      </w:r>
      <w:r w:rsidRPr="0070440A">
        <w:rPr>
          <w:noProof/>
          <w:lang w:val="en-IE"/>
        </w:rPr>
        <w:t>.</w:t>
      </w:r>
      <w:r w:rsidRPr="0070440A">
        <w:rPr>
          <w:b/>
          <w:bCs/>
          <w:noProof/>
          <w:lang w:val="en-IE"/>
        </w:rPr>
        <w:t xml:space="preserve"> </w:t>
      </w:r>
    </w:p>
    <w:p w14:paraId="3D780586" w14:textId="77777777" w:rsidR="00AD63B1" w:rsidRPr="00C15A66" w:rsidRDefault="00AD63B1" w:rsidP="00AD63B1">
      <w:pPr>
        <w:rPr>
          <w:noProof/>
          <w:lang w:val="en-IE" w:eastAsia="fr-FR"/>
        </w:rPr>
      </w:pPr>
      <w:r>
        <w:rPr>
          <w:b/>
          <w:bCs/>
          <w:noProof/>
          <w:lang w:val="en-IE" w:eastAsia="fr-FR"/>
        </w:rPr>
        <w:t>P</w:t>
      </w:r>
      <w:r w:rsidRPr="00982BF8">
        <w:rPr>
          <w:b/>
          <w:bCs/>
          <w:noProof/>
          <w:lang w:val="en-IE" w:eastAsia="fr-FR"/>
        </w:rPr>
        <w:t>ublic authorities continue to support civil society organisations, including through substantial public funding</w:t>
      </w:r>
      <w:r w:rsidRPr="559E762B">
        <w:rPr>
          <w:b/>
          <w:bCs/>
          <w:noProof/>
          <w:lang w:val="en-IE" w:eastAsia="fr-FR"/>
        </w:rPr>
        <w:t xml:space="preserve">, </w:t>
      </w:r>
      <w:r>
        <w:rPr>
          <w:b/>
          <w:bCs/>
          <w:noProof/>
          <w:lang w:val="en-IE" w:eastAsia="fr-FR"/>
        </w:rPr>
        <w:t xml:space="preserve">while </w:t>
      </w:r>
      <w:r w:rsidRPr="559E762B">
        <w:rPr>
          <w:b/>
          <w:bCs/>
          <w:noProof/>
          <w:lang w:val="en-IE" w:eastAsia="fr-FR"/>
        </w:rPr>
        <w:t xml:space="preserve">some </w:t>
      </w:r>
      <w:r>
        <w:rPr>
          <w:b/>
          <w:bCs/>
          <w:noProof/>
          <w:lang w:val="en-IE" w:eastAsia="fr-FR"/>
        </w:rPr>
        <w:t>organisations</w:t>
      </w:r>
      <w:r w:rsidRPr="559E762B">
        <w:rPr>
          <w:b/>
          <w:bCs/>
          <w:noProof/>
          <w:lang w:val="en-IE" w:eastAsia="fr-FR"/>
        </w:rPr>
        <w:t xml:space="preserve"> continue to face challenges to their operations</w:t>
      </w:r>
      <w:r>
        <w:rPr>
          <w:b/>
          <w:bCs/>
          <w:noProof/>
          <w:lang w:val="en-IE" w:eastAsia="fr-FR"/>
        </w:rPr>
        <w:t>.</w:t>
      </w:r>
      <w:r>
        <w:rPr>
          <w:noProof/>
          <w:lang w:val="en-IE" w:eastAsia="fr-FR"/>
        </w:rPr>
        <w:t xml:space="preserve"> In December 2025, France’s civic space rating</w:t>
      </w:r>
      <w:r w:rsidRPr="00D045CB">
        <w:rPr>
          <w:noProof/>
          <w:lang w:val="en-IE" w:eastAsia="fr-FR"/>
        </w:rPr>
        <w:t xml:space="preserve"> </w:t>
      </w:r>
      <w:r>
        <w:rPr>
          <w:noProof/>
          <w:lang w:val="en-IE" w:eastAsia="fr-FR"/>
        </w:rPr>
        <w:t xml:space="preserve">was downgraded by Civicus from “narrowed” </w:t>
      </w:r>
      <w:r w:rsidRPr="7649E722">
        <w:rPr>
          <w:noProof/>
          <w:lang w:val="en-IE" w:eastAsia="fr-FR"/>
        </w:rPr>
        <w:t>to</w:t>
      </w:r>
      <w:r>
        <w:rPr>
          <w:noProof/>
          <w:lang w:val="en-IE" w:eastAsia="fr-FR"/>
        </w:rPr>
        <w:t xml:space="preserve"> “obstructed”</w:t>
      </w:r>
      <w:r w:rsidRPr="00D045CB">
        <w:rPr>
          <w:noProof/>
          <w:vertAlign w:val="superscript"/>
          <w:lang w:val="en-IE" w:eastAsia="fr-FR"/>
        </w:rPr>
        <w:footnoteReference w:id="149"/>
      </w:r>
      <w:r>
        <w:rPr>
          <w:noProof/>
          <w:lang w:val="en-IE"/>
        </w:rPr>
        <w:t>.</w:t>
      </w:r>
      <w:r w:rsidRPr="00D045CB">
        <w:rPr>
          <w:noProof/>
          <w:lang w:val="en-IE"/>
        </w:rPr>
        <w:t xml:space="preserve"> </w:t>
      </w:r>
      <w:r>
        <w:rPr>
          <w:noProof/>
          <w:lang w:val="en-IE" w:eastAsia="fr-FR"/>
        </w:rPr>
        <w:t>Civil Society Organisations (CSOs)</w:t>
      </w:r>
      <w:r w:rsidRPr="00CD5A46">
        <w:rPr>
          <w:noProof/>
          <w:lang w:val="en-IE" w:eastAsia="fr-FR"/>
        </w:rPr>
        <w:t xml:space="preserve"> point to an increasing restriction of the freedom of association</w:t>
      </w:r>
      <w:r w:rsidRPr="559E762B">
        <w:rPr>
          <w:rStyle w:val="FootnoteReference"/>
          <w:noProof/>
          <w:lang w:val="en-IE" w:eastAsia="fr-FR"/>
        </w:rPr>
        <w:footnoteReference w:id="150"/>
      </w:r>
      <w:r>
        <w:rPr>
          <w:noProof/>
          <w:lang w:val="en-IE" w:eastAsia="fr-FR"/>
        </w:rPr>
        <w:t>, while cases of excessive use of force by law enforcement during demonstrations</w:t>
      </w:r>
      <w:r w:rsidRPr="559E762B">
        <w:rPr>
          <w:noProof/>
          <w:lang w:val="en-IE" w:eastAsia="fr-FR"/>
        </w:rPr>
        <w:t xml:space="preserve"> ha</w:t>
      </w:r>
      <w:r>
        <w:rPr>
          <w:noProof/>
          <w:lang w:val="en-IE" w:eastAsia="fr-FR"/>
        </w:rPr>
        <w:t>ve</w:t>
      </w:r>
      <w:r w:rsidRPr="559E762B">
        <w:rPr>
          <w:noProof/>
          <w:lang w:val="en-IE" w:eastAsia="fr-FR"/>
        </w:rPr>
        <w:t xml:space="preserve"> been </w:t>
      </w:r>
      <w:r>
        <w:rPr>
          <w:noProof/>
          <w:lang w:val="en-IE" w:eastAsia="fr-FR"/>
        </w:rPr>
        <w:t>pointed out</w:t>
      </w:r>
      <w:r w:rsidRPr="559E762B">
        <w:rPr>
          <w:noProof/>
          <w:lang w:val="en-IE" w:eastAsia="fr-FR"/>
        </w:rPr>
        <w:t xml:space="preserve"> by</w:t>
      </w:r>
      <w:r>
        <w:rPr>
          <w:noProof/>
          <w:lang w:val="en-IE" w:eastAsia="fr-FR"/>
        </w:rPr>
        <w:t xml:space="preserve"> the European Court for Human Rights,</w:t>
      </w:r>
      <w:r w:rsidRPr="559E762B">
        <w:rPr>
          <w:noProof/>
          <w:lang w:val="en-IE" w:eastAsia="fr-FR"/>
        </w:rPr>
        <w:t xml:space="preserve"> </w:t>
      </w:r>
      <w:r>
        <w:rPr>
          <w:noProof/>
          <w:lang w:val="en-IE" w:eastAsia="fr-FR"/>
        </w:rPr>
        <w:t xml:space="preserve">the Defender of Rights, </w:t>
      </w:r>
      <w:r w:rsidRPr="559E762B">
        <w:rPr>
          <w:noProof/>
          <w:lang w:val="en-IE" w:eastAsia="fr-FR"/>
        </w:rPr>
        <w:t xml:space="preserve">the </w:t>
      </w:r>
      <w:r w:rsidRPr="00C72597">
        <w:rPr>
          <w:noProof/>
          <w:lang w:val="en-IE" w:eastAsia="fr-FR"/>
        </w:rPr>
        <w:t>CNCDH</w:t>
      </w:r>
      <w:r w:rsidRPr="00C72597" w:rsidDel="00C72597">
        <w:rPr>
          <w:noProof/>
          <w:lang w:val="en-IE" w:eastAsia="fr-FR"/>
        </w:rPr>
        <w:t xml:space="preserve"> </w:t>
      </w:r>
      <w:r w:rsidRPr="559E762B">
        <w:rPr>
          <w:noProof/>
          <w:lang w:val="en-IE" w:eastAsia="fr-FR"/>
        </w:rPr>
        <w:t>and</w:t>
      </w:r>
      <w:r>
        <w:rPr>
          <w:noProof/>
          <w:lang w:val="en-IE" w:eastAsia="fr-FR"/>
        </w:rPr>
        <w:t xml:space="preserve"> CSOs</w:t>
      </w:r>
      <w:r w:rsidRPr="559E762B">
        <w:rPr>
          <w:rStyle w:val="FootnoteReference"/>
          <w:noProof/>
          <w:lang w:val="en-IE" w:eastAsia="fr-FR"/>
        </w:rPr>
        <w:footnoteReference w:id="151"/>
      </w:r>
      <w:r w:rsidRPr="559E762B">
        <w:rPr>
          <w:noProof/>
          <w:lang w:val="en-IE" w:eastAsia="fr-FR"/>
        </w:rPr>
        <w:t>.</w:t>
      </w:r>
      <w:r>
        <w:rPr>
          <w:noProof/>
          <w:lang w:val="en-IE" w:eastAsia="fr-FR"/>
        </w:rPr>
        <w:t xml:space="preserve"> </w:t>
      </w:r>
      <w:r w:rsidRPr="00F132AA">
        <w:rPr>
          <w:noProof/>
          <w:lang w:val="en-IE" w:eastAsia="fr-FR"/>
        </w:rPr>
        <w:t>D</w:t>
      </w:r>
      <w:r>
        <w:rPr>
          <w:noProof/>
          <w:lang w:val="en-IE" w:eastAsia="fr-FR"/>
        </w:rPr>
        <w:t xml:space="preserve">espite </w:t>
      </w:r>
      <w:r w:rsidRPr="559E762B">
        <w:rPr>
          <w:noProof/>
          <w:lang w:val="en-IE" w:eastAsia="fr-FR"/>
        </w:rPr>
        <w:t>budgetary restrictions</w:t>
      </w:r>
      <w:r>
        <w:rPr>
          <w:noProof/>
          <w:lang w:val="en-IE" w:eastAsia="fr-FR"/>
        </w:rPr>
        <w:t xml:space="preserve"> leading to some decrease in their funding</w:t>
      </w:r>
      <w:r w:rsidRPr="559E762B">
        <w:rPr>
          <w:rStyle w:val="FootnoteReference"/>
          <w:noProof/>
          <w:lang w:val="en-IE" w:eastAsia="fr-FR"/>
        </w:rPr>
        <w:footnoteReference w:id="152"/>
      </w:r>
      <w:r>
        <w:rPr>
          <w:noProof/>
          <w:lang w:val="en-IE" w:eastAsia="fr-FR"/>
        </w:rPr>
        <w:t>, public authorities continue to support CSOs, including through substantial public funding</w:t>
      </w:r>
      <w:r>
        <w:rPr>
          <w:rStyle w:val="FootnoteReference"/>
          <w:noProof/>
          <w:lang w:val="en-IE" w:eastAsia="fr-FR"/>
        </w:rPr>
        <w:footnoteReference w:id="153"/>
      </w:r>
      <w:r>
        <w:rPr>
          <w:noProof/>
          <w:lang w:val="en-IE" w:eastAsia="fr-FR"/>
        </w:rPr>
        <w:t>.</w:t>
      </w:r>
      <w:r w:rsidRPr="559E762B">
        <w:rPr>
          <w:noProof/>
          <w:lang w:val="en-IE" w:eastAsia="fr-FR"/>
        </w:rPr>
        <w:t xml:space="preserve"> </w:t>
      </w:r>
      <w:r>
        <w:rPr>
          <w:noProof/>
          <w:lang w:val="en-IE" w:eastAsia="fr-FR"/>
        </w:rPr>
        <w:t xml:space="preserve">No human rights CSO has been dissolved during the reporting period according to the </w:t>
      </w:r>
      <w:r w:rsidRPr="559E762B">
        <w:rPr>
          <w:noProof/>
          <w:lang w:val="en-IE" w:eastAsia="fr-FR"/>
        </w:rPr>
        <w:t>Law of 2021</w:t>
      </w:r>
      <w:r>
        <w:rPr>
          <w:noProof/>
          <w:lang w:val="en-IE" w:eastAsia="fr-FR"/>
        </w:rPr>
        <w:t>,</w:t>
      </w:r>
      <w:r w:rsidRPr="559E762B">
        <w:rPr>
          <w:noProof/>
          <w:lang w:val="en-IE" w:eastAsia="fr-FR"/>
        </w:rPr>
        <w:t xml:space="preserve"> which establishes the ‘Republican Commitment Agreement’</w:t>
      </w:r>
      <w:r>
        <w:rPr>
          <w:rStyle w:val="FootnoteReference"/>
          <w:noProof/>
          <w:lang w:val="en-IE" w:eastAsia="fr-FR"/>
        </w:rPr>
        <w:footnoteReference w:id="154"/>
      </w:r>
      <w:r>
        <w:rPr>
          <w:noProof/>
          <w:lang w:val="en-IE" w:eastAsia="fr-FR"/>
        </w:rPr>
        <w:t>, while in a few cases part of their public funding was removed</w:t>
      </w:r>
      <w:r w:rsidRPr="005619C2">
        <w:rPr>
          <w:noProof/>
          <w:lang w:val="en-IE" w:eastAsia="fr-FR"/>
        </w:rPr>
        <w:t>. According to the</w:t>
      </w:r>
      <w:r w:rsidRPr="559E762B">
        <w:rPr>
          <w:noProof/>
          <w:lang w:val="en-IE" w:eastAsia="fr-FR"/>
        </w:rPr>
        <w:t xml:space="preserve"> Defender of Rights, the CNCDH and CSOs, </w:t>
      </w:r>
      <w:r>
        <w:rPr>
          <w:noProof/>
          <w:lang w:val="en-IE" w:eastAsia="fr-FR"/>
        </w:rPr>
        <w:t xml:space="preserve">criteria </w:t>
      </w:r>
      <w:r w:rsidRPr="559E762B">
        <w:rPr>
          <w:noProof/>
          <w:lang w:val="en-IE" w:eastAsia="fr-FR"/>
        </w:rPr>
        <w:t xml:space="preserve">to remove funding from </w:t>
      </w:r>
      <w:r>
        <w:rPr>
          <w:noProof/>
          <w:lang w:val="en-IE" w:eastAsia="fr-FR"/>
        </w:rPr>
        <w:t>CSOs could be more</w:t>
      </w:r>
      <w:r w:rsidRPr="559E762B">
        <w:rPr>
          <w:noProof/>
          <w:lang w:val="en-IE" w:eastAsia="fr-FR"/>
        </w:rPr>
        <w:t xml:space="preserve"> precise</w:t>
      </w:r>
      <w:r w:rsidRPr="559E762B">
        <w:rPr>
          <w:rStyle w:val="FootnoteReference"/>
          <w:noProof/>
          <w:lang w:val="en-IE" w:eastAsia="fr-FR"/>
        </w:rPr>
        <w:footnoteReference w:id="155"/>
      </w:r>
      <w:r w:rsidRPr="559E762B">
        <w:rPr>
          <w:noProof/>
          <w:lang w:val="en-IE" w:eastAsia="fr-FR"/>
        </w:rPr>
        <w:t>.</w:t>
      </w:r>
      <w:r>
        <w:rPr>
          <w:noProof/>
          <w:lang w:val="en-IE" w:eastAsia="fr-FR"/>
        </w:rPr>
        <w:t xml:space="preserve"> M</w:t>
      </w:r>
      <w:r w:rsidRPr="00294F8B">
        <w:rPr>
          <w:noProof/>
          <w:lang w:val="en-IE" w:eastAsia="fr-FR"/>
        </w:rPr>
        <w:t xml:space="preserve">ost </w:t>
      </w:r>
      <w:r>
        <w:rPr>
          <w:noProof/>
          <w:lang w:val="en-IE" w:eastAsia="fr-FR"/>
        </w:rPr>
        <w:t>CSOs</w:t>
      </w:r>
      <w:r w:rsidRPr="00294F8B">
        <w:rPr>
          <w:noProof/>
          <w:lang w:val="en-IE" w:eastAsia="fr-FR"/>
        </w:rPr>
        <w:t xml:space="preserve"> indicate</w:t>
      </w:r>
      <w:r>
        <w:rPr>
          <w:noProof/>
          <w:lang w:val="en-IE" w:eastAsia="fr-FR"/>
        </w:rPr>
        <w:t>d</w:t>
      </w:r>
      <w:r w:rsidRPr="00294F8B">
        <w:rPr>
          <w:noProof/>
          <w:lang w:val="en-IE" w:eastAsia="fr-FR"/>
        </w:rPr>
        <w:t xml:space="preserve"> they have good relations with public authorities</w:t>
      </w:r>
      <w:r w:rsidRPr="559E762B">
        <w:rPr>
          <w:noProof/>
          <w:lang w:val="en-IE" w:eastAsia="fr-FR"/>
        </w:rPr>
        <w:t xml:space="preserve">. </w:t>
      </w:r>
      <w:r>
        <w:rPr>
          <w:noProof/>
          <w:lang w:val="en-IE" w:eastAsia="fr-FR"/>
        </w:rPr>
        <w:t>However,</w:t>
      </w:r>
      <w:r w:rsidRPr="559E762B">
        <w:rPr>
          <w:noProof/>
          <w:lang w:val="en-IE" w:eastAsia="fr-FR"/>
        </w:rPr>
        <w:t xml:space="preserve"> </w:t>
      </w:r>
      <w:r>
        <w:rPr>
          <w:noProof/>
          <w:lang w:val="en-IE" w:eastAsia="fr-FR"/>
        </w:rPr>
        <w:t xml:space="preserve">between </w:t>
      </w:r>
      <w:r w:rsidRPr="559E762B">
        <w:rPr>
          <w:noProof/>
          <w:lang w:val="en-IE" w:eastAsia="fr-FR"/>
        </w:rPr>
        <w:t>27%</w:t>
      </w:r>
      <w:r>
        <w:rPr>
          <w:noProof/>
          <w:lang w:val="en-IE" w:eastAsia="fr-FR"/>
        </w:rPr>
        <w:t xml:space="preserve"> and 41%</w:t>
      </w:r>
      <w:r w:rsidRPr="559E762B">
        <w:rPr>
          <w:noProof/>
          <w:lang w:val="en-IE" w:eastAsia="fr-FR"/>
        </w:rPr>
        <w:t xml:space="preserve"> </w:t>
      </w:r>
      <w:r>
        <w:rPr>
          <w:noProof/>
          <w:lang w:val="en-IE" w:eastAsia="fr-FR"/>
        </w:rPr>
        <w:t>of CSOs, depending on the area of work,</w:t>
      </w:r>
      <w:r w:rsidRPr="00837F11">
        <w:rPr>
          <w:noProof/>
          <w:lang w:val="en-IE" w:eastAsia="fr-FR"/>
        </w:rPr>
        <w:t xml:space="preserve"> </w:t>
      </w:r>
      <w:r>
        <w:rPr>
          <w:noProof/>
          <w:lang w:val="en-IE" w:eastAsia="fr-FR"/>
        </w:rPr>
        <w:t>stated</w:t>
      </w:r>
      <w:r w:rsidRPr="559E762B">
        <w:rPr>
          <w:noProof/>
          <w:lang w:val="en-IE" w:eastAsia="fr-FR"/>
        </w:rPr>
        <w:t xml:space="preserve"> that they self-censor as a result</w:t>
      </w:r>
      <w:r>
        <w:rPr>
          <w:noProof/>
          <w:lang w:val="en-IE" w:eastAsia="fr-FR"/>
        </w:rPr>
        <w:t xml:space="preserve"> of fear of losing funds</w:t>
      </w:r>
      <w:r w:rsidRPr="559E762B">
        <w:rPr>
          <w:rStyle w:val="FootnoteReference"/>
          <w:noProof/>
          <w:lang w:val="en-IE" w:eastAsia="fr-FR"/>
        </w:rPr>
        <w:footnoteReference w:id="156"/>
      </w:r>
      <w:r w:rsidRPr="559E762B">
        <w:rPr>
          <w:noProof/>
          <w:lang w:val="en-IE" w:eastAsia="fr-FR"/>
        </w:rPr>
        <w:t xml:space="preserve">. </w:t>
      </w:r>
      <w:r>
        <w:rPr>
          <w:noProof/>
        </w:rPr>
        <w:t>Environmental CSOs have seen the number of legal actions against them increase over recent years</w:t>
      </w:r>
      <w:r>
        <w:rPr>
          <w:rStyle w:val="FootnoteReference"/>
          <w:noProof/>
        </w:rPr>
        <w:footnoteReference w:id="157"/>
      </w:r>
      <w:r>
        <w:rPr>
          <w:noProof/>
        </w:rPr>
        <w:t xml:space="preserve">. </w:t>
      </w:r>
      <w:r w:rsidRPr="559E762B">
        <w:rPr>
          <w:noProof/>
          <w:lang w:val="en-IE" w:eastAsia="fr-FR"/>
        </w:rPr>
        <w:t xml:space="preserve">The European Network for National Human Rights Institutions (ENNHRI) recommended </w:t>
      </w:r>
      <w:r>
        <w:rPr>
          <w:noProof/>
          <w:lang w:val="en-IE" w:eastAsia="fr-FR"/>
        </w:rPr>
        <w:t>France</w:t>
      </w:r>
      <w:r w:rsidRPr="559E762B">
        <w:rPr>
          <w:noProof/>
          <w:lang w:val="en-IE" w:eastAsia="fr-FR"/>
        </w:rPr>
        <w:t xml:space="preserve"> to provide the CNCDH</w:t>
      </w:r>
      <w:r>
        <w:rPr>
          <w:noProof/>
          <w:lang w:val="en-IE" w:eastAsia="fr-FR"/>
        </w:rPr>
        <w:t xml:space="preserve">, which has an </w:t>
      </w:r>
      <w:r w:rsidRPr="7649E722">
        <w:rPr>
          <w:noProof/>
          <w:lang w:val="en-IE" w:eastAsia="fr-FR"/>
        </w:rPr>
        <w:t>‘</w:t>
      </w:r>
      <w:r>
        <w:rPr>
          <w:noProof/>
          <w:lang w:val="en-IE" w:eastAsia="fr-FR"/>
        </w:rPr>
        <w:t>A</w:t>
      </w:r>
      <w:r w:rsidRPr="7649E722">
        <w:rPr>
          <w:noProof/>
          <w:lang w:val="en-IE" w:eastAsia="fr-FR"/>
        </w:rPr>
        <w:t>’</w:t>
      </w:r>
      <w:r>
        <w:rPr>
          <w:noProof/>
          <w:lang w:val="en-IE" w:eastAsia="fr-FR"/>
        </w:rPr>
        <w:t xml:space="preserve"> accreditation status,</w:t>
      </w:r>
      <w:r w:rsidRPr="559E762B">
        <w:rPr>
          <w:noProof/>
          <w:lang w:val="en-IE" w:eastAsia="fr-FR"/>
        </w:rPr>
        <w:t xml:space="preserve"> with the required financial resources so that it can effectively carry out </w:t>
      </w:r>
      <w:r>
        <w:rPr>
          <w:noProof/>
          <w:lang w:val="en-IE" w:eastAsia="fr-FR"/>
        </w:rPr>
        <w:t>its mandate</w:t>
      </w:r>
      <w:r w:rsidRPr="559E762B">
        <w:rPr>
          <w:noProof/>
          <w:lang w:val="en-IE" w:eastAsia="fr-FR"/>
        </w:rPr>
        <w:t xml:space="preserve"> at national and international level; consult or at least inform the CNCDH of the preparation of legislative texts and public policies, particular</w:t>
      </w:r>
      <w:r>
        <w:rPr>
          <w:noProof/>
          <w:lang w:val="en-IE" w:eastAsia="fr-FR"/>
        </w:rPr>
        <w:t>ly</w:t>
      </w:r>
      <w:r w:rsidRPr="559E762B">
        <w:rPr>
          <w:noProof/>
          <w:lang w:val="en-IE" w:eastAsia="fr-FR"/>
        </w:rPr>
        <w:t xml:space="preserve"> those that are related or have impacts on human rights and climate policies; and enable the CNCDH to intervene before national courts by submitting written observations</w:t>
      </w:r>
      <w:r w:rsidRPr="559E762B">
        <w:rPr>
          <w:rStyle w:val="FootnoteReference"/>
          <w:noProof/>
          <w:lang w:val="en-IE" w:eastAsia="fr-FR"/>
        </w:rPr>
        <w:footnoteReference w:id="158"/>
      </w:r>
      <w:r w:rsidRPr="559E762B">
        <w:rPr>
          <w:noProof/>
          <w:lang w:val="en-IE" w:eastAsia="fr-FR"/>
        </w:rPr>
        <w:t xml:space="preserve">. </w:t>
      </w:r>
    </w:p>
    <w:p w14:paraId="4078BEB2" w14:textId="77777777" w:rsidR="00AD63B1" w:rsidRPr="005817FA" w:rsidRDefault="00AD63B1" w:rsidP="00AD63B1">
      <w:pPr>
        <w:pageBreakBefore/>
        <w:spacing w:after="120" w:line="264" w:lineRule="auto"/>
        <w:rPr>
          <w:b/>
          <w:noProof/>
          <w:lang w:val="en-IE" w:eastAsia="en-GB"/>
        </w:rPr>
      </w:pPr>
      <w:r w:rsidRPr="005817FA">
        <w:rPr>
          <w:b/>
          <w:noProof/>
          <w:lang w:val="en-IE" w:eastAsia="en-GB"/>
        </w:rPr>
        <w:t>Annex I: List of sources in alphabetical order*</w:t>
      </w:r>
    </w:p>
    <w:p w14:paraId="76F13841" w14:textId="53753EB3" w:rsidR="001E15CF" w:rsidRPr="00FF276F" w:rsidRDefault="00AD63B1" w:rsidP="00FF276F">
      <w:pPr>
        <w:spacing w:after="120"/>
        <w:rPr>
          <w:i/>
          <w:noProof/>
          <w:sz w:val="22"/>
          <w:lang w:eastAsia="en-GB"/>
        </w:rPr>
      </w:pPr>
      <w:r w:rsidRPr="00B6730D">
        <w:rPr>
          <w:i/>
          <w:noProof/>
          <w:sz w:val="22"/>
          <w:lang w:val="en-IE" w:eastAsia="en-GB"/>
        </w:rPr>
        <w:t>* The list of contributions received in the context of the consultation for the 202</w:t>
      </w:r>
      <w:r>
        <w:rPr>
          <w:i/>
          <w:noProof/>
          <w:sz w:val="22"/>
          <w:lang w:val="en-IE" w:eastAsia="en-GB"/>
        </w:rPr>
        <w:t>6</w:t>
      </w:r>
      <w:r w:rsidRPr="00B6730D">
        <w:rPr>
          <w:i/>
          <w:noProof/>
          <w:sz w:val="22"/>
          <w:lang w:val="en-IE" w:eastAsia="en-GB"/>
        </w:rPr>
        <w:t xml:space="preserve"> Rule of Law </w:t>
      </w:r>
      <w:r>
        <w:rPr>
          <w:i/>
          <w:noProof/>
          <w:sz w:val="22"/>
          <w:lang w:val="en-IE" w:eastAsia="en-GB"/>
        </w:rPr>
        <w:t>R</w:t>
      </w:r>
      <w:r w:rsidRPr="00B6730D">
        <w:rPr>
          <w:i/>
          <w:noProof/>
          <w:sz w:val="22"/>
          <w:lang w:val="en-IE" w:eastAsia="en-GB"/>
        </w:rPr>
        <w:t xml:space="preserve">eport can be found at </w:t>
      </w:r>
      <w:hyperlink r:id="rId22" w:history="1">
        <w:r w:rsidR="001E15CF" w:rsidRPr="001E15CF">
          <w:rPr>
            <w:rStyle w:val="Hyperlink"/>
            <w:i/>
            <w:noProof/>
            <w:sz w:val="22"/>
            <w:lang w:val="en-US" w:eastAsia="en-GB"/>
          </w:rPr>
          <w:t>https://commission.europa.eu/publications/2026-rule-law-report-targeted-stakeholder-consultation_en</w:t>
        </w:r>
      </w:hyperlink>
      <w:r w:rsidR="001E15CF">
        <w:rPr>
          <w:i/>
          <w:noProof/>
          <w:sz w:val="22"/>
          <w:lang w:val="en-US" w:eastAsia="en-GB"/>
        </w:rPr>
        <w:t>.</w:t>
      </w:r>
      <w:r w:rsidR="001E15CF" w:rsidRPr="001E15CF">
        <w:rPr>
          <w:i/>
          <w:noProof/>
          <w:sz w:val="22"/>
          <w:lang w:val="en-US" w:eastAsia="en-GB"/>
        </w:rPr>
        <w:t xml:space="preserve"> </w:t>
      </w:r>
    </w:p>
    <w:p w14:paraId="68343308" w14:textId="2CFFFFFD" w:rsidR="00232E3A" w:rsidRPr="00FF276F" w:rsidRDefault="00232E3A" w:rsidP="001A66AF">
      <w:pPr>
        <w:spacing w:after="120"/>
        <w:rPr>
          <w:bCs/>
          <w:smallCaps/>
          <w:noProof/>
          <w:sz w:val="22"/>
          <w:lang w:val="en-IE"/>
        </w:rPr>
      </w:pPr>
      <w:r w:rsidRPr="00756FAD">
        <w:rPr>
          <w:noProof/>
          <w:sz w:val="22"/>
          <w:lang w:val="en-IE"/>
        </w:rPr>
        <w:t>ARCOM (2026</w:t>
      </w:r>
      <w:r>
        <w:rPr>
          <w:noProof/>
          <w:sz w:val="22"/>
          <w:lang w:val="en-IE"/>
        </w:rPr>
        <w:t>a</w:t>
      </w:r>
      <w:r w:rsidRPr="00756FAD">
        <w:rPr>
          <w:noProof/>
          <w:sz w:val="22"/>
          <w:lang w:val="en-IE"/>
        </w:rPr>
        <w:t>)</w:t>
      </w:r>
      <w:r>
        <w:rPr>
          <w:b/>
          <w:smallCaps/>
          <w:noProof/>
          <w:sz w:val="22"/>
          <w:lang w:val="en-IE"/>
        </w:rPr>
        <w:t>,</w:t>
      </w:r>
      <w:r w:rsidRPr="00756FAD">
        <w:rPr>
          <w:noProof/>
          <w:sz w:val="22"/>
          <w:lang w:val="en-IE"/>
        </w:rPr>
        <w:t xml:space="preserve"> </w:t>
      </w:r>
      <w:r w:rsidRPr="001C75A2">
        <w:rPr>
          <w:i/>
          <w:iCs/>
          <w:noProof/>
          <w:sz w:val="22"/>
          <w:lang w:val="en-IE"/>
        </w:rPr>
        <w:t>Report of the mission on the Impartiality of the public audiovisual service by Bruno Lasserre</w:t>
      </w:r>
      <w:r>
        <w:rPr>
          <w:i/>
          <w:iCs/>
          <w:noProof/>
          <w:sz w:val="22"/>
          <w:lang w:val="en-IE"/>
        </w:rPr>
        <w:t xml:space="preserve">, </w:t>
      </w:r>
      <w:hyperlink r:id="rId23" w:history="1">
        <w:r w:rsidR="00FF276F" w:rsidRPr="00A9513F">
          <w:rPr>
            <w:rStyle w:val="Hyperlink"/>
            <w:bCs/>
            <w:smallCaps/>
            <w:noProof/>
            <w:sz w:val="22"/>
            <w:lang w:val="en-IE"/>
          </w:rPr>
          <w:t>https://www.arcom.fr/sites/default/files/2026-05/Arcom-etude-sur-la-perception-de-impartialite-de-audiovisuel-public.pdf</w:t>
        </w:r>
      </w:hyperlink>
      <w:r w:rsidR="00FF276F">
        <w:rPr>
          <w:bCs/>
          <w:smallCaps/>
          <w:noProof/>
          <w:sz w:val="22"/>
          <w:lang w:val="en-IE"/>
        </w:rPr>
        <w:t xml:space="preserve"> </w:t>
      </w:r>
    </w:p>
    <w:p w14:paraId="646FB4CE" w14:textId="49B909A2" w:rsidR="00232E3A" w:rsidRDefault="00232E3A" w:rsidP="001A66AF">
      <w:pPr>
        <w:spacing w:after="120"/>
        <w:rPr>
          <w:i/>
          <w:noProof/>
          <w:sz w:val="22"/>
          <w:lang w:val="fr-BE"/>
        </w:rPr>
      </w:pPr>
      <w:r w:rsidRPr="00694F16">
        <w:rPr>
          <w:noProof/>
          <w:sz w:val="22"/>
          <w:lang w:val="en-IE"/>
        </w:rPr>
        <w:t xml:space="preserve">ARCOM (2026b), </w:t>
      </w:r>
      <w:r w:rsidRPr="00694F16">
        <w:rPr>
          <w:i/>
          <w:iCs/>
          <w:noProof/>
          <w:sz w:val="22"/>
          <w:lang w:val="en-IE"/>
        </w:rPr>
        <w:t>Input from ARCOM to the 2026 Rule of Law Report.</w:t>
      </w:r>
      <w:r w:rsidRPr="00694F16">
        <w:rPr>
          <w:noProof/>
          <w:sz w:val="22"/>
          <w:lang w:val="en-IE"/>
        </w:rPr>
        <w:t xml:space="preserve">CNCDH (2025), </w:t>
      </w:r>
      <w:r w:rsidRPr="00694F16">
        <w:rPr>
          <w:i/>
          <w:iCs/>
          <w:noProof/>
          <w:sz w:val="22"/>
          <w:lang w:val="en-IE"/>
        </w:rPr>
        <w:t>Report on Preserving civic space: a major challenge for democracy and human rights</w:t>
      </w:r>
      <w:r w:rsidRPr="00694F16">
        <w:rPr>
          <w:noProof/>
          <w:sz w:val="22"/>
          <w:lang w:val="en-IE"/>
        </w:rPr>
        <w:t xml:space="preserve">. </w:t>
      </w:r>
      <w:hyperlink r:id="rId24" w:history="1">
        <w:r w:rsidRPr="00694F16">
          <w:rPr>
            <w:rStyle w:val="Hyperlink"/>
            <w:i/>
            <w:noProof/>
            <w:sz w:val="22"/>
            <w:lang w:val="fr-BE"/>
          </w:rPr>
          <w:t>Préserver l’espace civique : un enjeu majeur pour la démocratie et les droits humains | CNCDH</w:t>
        </w:r>
      </w:hyperlink>
      <w:r w:rsidRPr="00694F16">
        <w:rPr>
          <w:i/>
          <w:noProof/>
          <w:sz w:val="22"/>
          <w:lang w:val="fr-BE"/>
        </w:rPr>
        <w:t>.</w:t>
      </w:r>
    </w:p>
    <w:p w14:paraId="2C783BD9" w14:textId="77777777" w:rsidR="00232E3A" w:rsidRPr="00595DB2" w:rsidRDefault="00232E3A" w:rsidP="001A66AF">
      <w:pPr>
        <w:spacing w:after="120"/>
        <w:rPr>
          <w:i/>
          <w:noProof/>
          <w:sz w:val="22"/>
          <w:lang w:val="en-IE"/>
        </w:rPr>
      </w:pPr>
      <w:r w:rsidRPr="00595DB2">
        <w:rPr>
          <w:noProof/>
          <w:sz w:val="22"/>
          <w:lang w:val="en-IE"/>
        </w:rPr>
        <w:t xml:space="preserve">Commission for Access to Administrative Documents (2026), </w:t>
      </w:r>
      <w:r w:rsidRPr="00595DB2">
        <w:rPr>
          <w:i/>
          <w:noProof/>
          <w:sz w:val="22"/>
          <w:lang w:val="en-IE"/>
        </w:rPr>
        <w:t xml:space="preserve">Input from the Commission for Access to Administrative Documents to the 2026 Rule of Law Report. </w:t>
      </w:r>
    </w:p>
    <w:p w14:paraId="1B9CB4B9" w14:textId="77777777" w:rsidR="00232E3A" w:rsidRPr="001C75A2" w:rsidRDefault="00232E3A" w:rsidP="001A66AF">
      <w:pPr>
        <w:spacing w:after="120"/>
        <w:rPr>
          <w:i/>
          <w:noProof/>
          <w:sz w:val="22"/>
          <w:lang w:val="en-IE"/>
        </w:rPr>
      </w:pPr>
      <w:r w:rsidRPr="001C75A2">
        <w:rPr>
          <w:iCs/>
          <w:noProof/>
          <w:sz w:val="22"/>
          <w:lang w:val="en-IE"/>
        </w:rPr>
        <w:t xml:space="preserve">Constitutional Council (2026), </w:t>
      </w:r>
      <w:r w:rsidRPr="001C75A2">
        <w:rPr>
          <w:i/>
          <w:noProof/>
          <w:sz w:val="22"/>
          <w:lang w:val="en-IE"/>
        </w:rPr>
        <w:t>Input from the Constitutional Council to the 2026 Rule of Law Report.</w:t>
      </w:r>
    </w:p>
    <w:p w14:paraId="65CDDC38" w14:textId="5EC9E391" w:rsidR="00232E3A" w:rsidRPr="001C75A2" w:rsidRDefault="00232E3A" w:rsidP="001A66AF">
      <w:pPr>
        <w:spacing w:after="120"/>
        <w:rPr>
          <w:i/>
          <w:iCs/>
          <w:noProof/>
          <w:sz w:val="22"/>
          <w:lang w:val="en-IE"/>
        </w:rPr>
      </w:pPr>
      <w:r w:rsidRPr="00A528E4">
        <w:rPr>
          <w:noProof/>
          <w:sz w:val="22"/>
          <w:lang w:val="en-IE"/>
        </w:rPr>
        <w:t xml:space="preserve">Council of Bars and Law Societies of Europe </w:t>
      </w:r>
      <w:r>
        <w:rPr>
          <w:noProof/>
          <w:sz w:val="22"/>
          <w:lang w:val="en-IE"/>
        </w:rPr>
        <w:t>(CCBE) (2026),</w:t>
      </w:r>
      <w:r w:rsidRPr="001C75A2">
        <w:rPr>
          <w:i/>
          <w:iCs/>
          <w:noProof/>
          <w:sz w:val="22"/>
          <w:lang w:val="en-IE"/>
        </w:rPr>
        <w:t xml:space="preserve"> Input from the Council of Bars and Law Societies of Europe to the 2026 Rule of Law Report.</w:t>
      </w:r>
    </w:p>
    <w:p w14:paraId="25864755" w14:textId="40A00156" w:rsidR="00232E3A" w:rsidRDefault="00232E3A" w:rsidP="001A66AF">
      <w:pPr>
        <w:spacing w:after="120"/>
        <w:rPr>
          <w:i/>
          <w:noProof/>
          <w:sz w:val="22"/>
          <w:lang w:val="en-IE"/>
        </w:rPr>
      </w:pPr>
      <w:r>
        <w:rPr>
          <w:noProof/>
          <w:sz w:val="22"/>
          <w:lang w:val="en-IE"/>
        </w:rPr>
        <w:t xml:space="preserve">Council of Bars </w:t>
      </w:r>
      <w:r w:rsidRPr="00A528E4">
        <w:rPr>
          <w:noProof/>
          <w:sz w:val="22"/>
          <w:lang w:val="en-IE"/>
        </w:rPr>
        <w:t xml:space="preserve">and Law Societies of Europe </w:t>
      </w:r>
      <w:r>
        <w:rPr>
          <w:noProof/>
          <w:sz w:val="22"/>
          <w:lang w:val="en-IE"/>
        </w:rPr>
        <w:t xml:space="preserve">(CCBE) (2026), </w:t>
      </w:r>
      <w:r w:rsidRPr="001C75A2">
        <w:rPr>
          <w:i/>
          <w:noProof/>
          <w:sz w:val="22"/>
          <w:lang w:val="en-IE"/>
        </w:rPr>
        <w:t>Letter to the Minister of Justice</w:t>
      </w:r>
      <w:r w:rsidRPr="001C75A2">
        <w:rPr>
          <w:i/>
          <w:iCs/>
          <w:noProof/>
          <w:sz w:val="22"/>
          <w:lang w:val="en-IE"/>
        </w:rPr>
        <w:t xml:space="preserve"> on the reform of the criminal justice.</w:t>
      </w:r>
    </w:p>
    <w:p w14:paraId="2B6B4C71" w14:textId="2B60199F" w:rsidR="00232E3A" w:rsidRDefault="00232E3A" w:rsidP="001A66AF">
      <w:pPr>
        <w:spacing w:after="120"/>
        <w:rPr>
          <w:noProof/>
          <w:sz w:val="22"/>
          <w:lang w:val="en-IE"/>
        </w:rPr>
      </w:pPr>
      <w:r w:rsidRPr="00A905E2">
        <w:rPr>
          <w:noProof/>
          <w:sz w:val="22"/>
        </w:rPr>
        <w:t>Council of Europe (202</w:t>
      </w:r>
      <w:r>
        <w:rPr>
          <w:noProof/>
          <w:sz w:val="22"/>
        </w:rPr>
        <w:t>6</w:t>
      </w:r>
      <w:r w:rsidRPr="00A905E2">
        <w:rPr>
          <w:noProof/>
          <w:sz w:val="22"/>
        </w:rPr>
        <w:t xml:space="preserve">), </w:t>
      </w:r>
      <w:r w:rsidRPr="00A905E2">
        <w:rPr>
          <w:i/>
          <w:iCs/>
          <w:noProof/>
          <w:sz w:val="22"/>
        </w:rPr>
        <w:t>Supervision of the execution of judgments decisions of the European Court of Human Rights – 19th Annual Report of the Committee of Ministers – 2025,</w:t>
      </w:r>
      <w:r w:rsidRPr="00A905E2">
        <w:rPr>
          <w:noProof/>
          <w:sz w:val="22"/>
        </w:rPr>
        <w:t xml:space="preserve"> </w:t>
      </w:r>
      <w:hyperlink r:id="rId25" w:history="1">
        <w:r w:rsidRPr="00A905E2">
          <w:rPr>
            <w:rStyle w:val="Hyperlink"/>
            <w:noProof/>
            <w:sz w:val="22"/>
            <w:lang w:val="en-IE"/>
          </w:rPr>
          <w:t>https://rm.coe.int/2025-annual-report/48802b1633</w:t>
        </w:r>
      </w:hyperlink>
      <w:r w:rsidRPr="00A905E2">
        <w:rPr>
          <w:noProof/>
          <w:sz w:val="22"/>
          <w:lang w:val="en-IE"/>
        </w:rPr>
        <w:t xml:space="preserve">. </w:t>
      </w:r>
    </w:p>
    <w:p w14:paraId="4E60463E" w14:textId="59F81090" w:rsidR="00232E3A" w:rsidRPr="001C75A2" w:rsidRDefault="00232E3A" w:rsidP="001A66AF">
      <w:pPr>
        <w:spacing w:after="120"/>
        <w:rPr>
          <w:i/>
          <w:iCs/>
          <w:noProof/>
          <w:sz w:val="22"/>
          <w:lang w:val="en-IE"/>
        </w:rPr>
      </w:pPr>
      <w:r>
        <w:rPr>
          <w:noProof/>
          <w:sz w:val="22"/>
          <w:lang w:val="en-IE"/>
        </w:rPr>
        <w:t>Council of Europe</w:t>
      </w:r>
      <w:r w:rsidR="00A24023">
        <w:rPr>
          <w:noProof/>
          <w:sz w:val="22"/>
          <w:lang w:val="en-IE"/>
        </w:rPr>
        <w:t xml:space="preserve"> (2026)</w:t>
      </w:r>
      <w:r>
        <w:rPr>
          <w:noProof/>
          <w:sz w:val="22"/>
          <w:lang w:val="en-IE"/>
        </w:rPr>
        <w:t xml:space="preserve">, Directorate-General for Human Rights and Rule of Law, </w:t>
      </w:r>
      <w:r w:rsidRPr="00413242">
        <w:rPr>
          <w:i/>
          <w:iCs/>
          <w:noProof/>
          <w:sz w:val="22"/>
          <w:lang w:val="en-IE"/>
        </w:rPr>
        <w:t>Input from the Council of Europe to the 2026 Rule of Law Report.</w:t>
      </w:r>
    </w:p>
    <w:p w14:paraId="5E73A565" w14:textId="77777777" w:rsidR="00232E3A" w:rsidRPr="00756FAD" w:rsidRDefault="00232E3A" w:rsidP="001A66AF">
      <w:pPr>
        <w:spacing w:after="120"/>
        <w:rPr>
          <w:noProof/>
          <w:sz w:val="22"/>
          <w:lang w:val="en-IE"/>
        </w:rPr>
      </w:pPr>
      <w:r w:rsidRPr="00756FAD">
        <w:rPr>
          <w:noProof/>
          <w:sz w:val="22"/>
          <w:lang w:val="en-IE"/>
        </w:rPr>
        <w:t xml:space="preserve">Council of State, </w:t>
      </w:r>
      <w:r>
        <w:rPr>
          <w:i/>
          <w:noProof/>
          <w:sz w:val="22"/>
          <w:lang w:val="en-IE"/>
        </w:rPr>
        <w:t>P</w:t>
      </w:r>
      <w:r w:rsidRPr="001C75A2">
        <w:rPr>
          <w:i/>
          <w:noProof/>
          <w:sz w:val="22"/>
          <w:lang w:val="en-IE"/>
        </w:rPr>
        <w:t>ublic statement following the Decision N° 463162.</w:t>
      </w:r>
    </w:p>
    <w:p w14:paraId="159CEA9C" w14:textId="77777777" w:rsidR="00232E3A" w:rsidRDefault="00232E3A" w:rsidP="001A66AF">
      <w:pPr>
        <w:spacing w:after="120"/>
        <w:rPr>
          <w:noProof/>
          <w:sz w:val="22"/>
        </w:rPr>
      </w:pPr>
      <w:r w:rsidRPr="00756FAD">
        <w:rPr>
          <w:noProof/>
          <w:sz w:val="22"/>
        </w:rPr>
        <w:t>Court of Audit</w:t>
      </w:r>
      <w:r>
        <w:rPr>
          <w:noProof/>
          <w:sz w:val="22"/>
        </w:rPr>
        <w:t xml:space="preserve"> (2025)</w:t>
      </w:r>
      <w:r w:rsidRPr="00756FAD">
        <w:rPr>
          <w:noProof/>
          <w:sz w:val="22"/>
        </w:rPr>
        <w:t xml:space="preserve">, </w:t>
      </w:r>
      <w:r w:rsidRPr="001C75A2">
        <w:rPr>
          <w:i/>
          <w:noProof/>
          <w:sz w:val="22"/>
        </w:rPr>
        <w:t>Evaluation of the Anti-Corruption Policy 2013-2024</w:t>
      </w:r>
      <w:r>
        <w:rPr>
          <w:i/>
          <w:noProof/>
          <w:sz w:val="22"/>
        </w:rPr>
        <w:t>.</w:t>
      </w:r>
    </w:p>
    <w:p w14:paraId="3FE1311F" w14:textId="77777777" w:rsidR="00232E3A" w:rsidRPr="00756FAD" w:rsidRDefault="00232E3A" w:rsidP="001A66AF">
      <w:pPr>
        <w:spacing w:after="120"/>
        <w:rPr>
          <w:noProof/>
          <w:sz w:val="22"/>
          <w:lang w:val="en-IE"/>
        </w:rPr>
      </w:pPr>
      <w:r>
        <w:rPr>
          <w:noProof/>
          <w:sz w:val="22"/>
        </w:rPr>
        <w:t xml:space="preserve">Court of Cassation, President, </w:t>
      </w:r>
      <w:r w:rsidRPr="001C75A2">
        <w:rPr>
          <w:i/>
          <w:iCs/>
          <w:noProof/>
          <w:sz w:val="22"/>
        </w:rPr>
        <w:t>New Year Speech 2026.</w:t>
      </w:r>
    </w:p>
    <w:p w14:paraId="3D2652EB" w14:textId="5B1506E6" w:rsidR="00232E3A" w:rsidRPr="00756FAD" w:rsidRDefault="00232E3A" w:rsidP="001A66AF">
      <w:pPr>
        <w:spacing w:after="120"/>
        <w:rPr>
          <w:noProof/>
          <w:sz w:val="22"/>
          <w:lang w:val="en-IE" w:eastAsia="en-GB"/>
        </w:rPr>
      </w:pPr>
      <w:r w:rsidRPr="00756FAD">
        <w:rPr>
          <w:noProof/>
          <w:sz w:val="22"/>
          <w:lang w:val="en-IE" w:eastAsia="en-GB"/>
        </w:rPr>
        <w:t xml:space="preserve">Defender of </w:t>
      </w:r>
      <w:r>
        <w:rPr>
          <w:noProof/>
          <w:sz w:val="22"/>
          <w:lang w:val="en-IE" w:eastAsia="en-GB"/>
        </w:rPr>
        <w:t>R</w:t>
      </w:r>
      <w:r w:rsidRPr="00756FAD">
        <w:rPr>
          <w:noProof/>
          <w:sz w:val="22"/>
          <w:lang w:val="en-IE" w:eastAsia="en-GB"/>
        </w:rPr>
        <w:t>ights</w:t>
      </w:r>
      <w:r>
        <w:rPr>
          <w:noProof/>
          <w:sz w:val="22"/>
          <w:lang w:val="en-IE" w:eastAsia="en-GB"/>
        </w:rPr>
        <w:t xml:space="preserve"> (2026a)</w:t>
      </w:r>
      <w:r w:rsidRPr="001C75A2">
        <w:rPr>
          <w:i/>
          <w:iCs/>
          <w:noProof/>
          <w:sz w:val="22"/>
          <w:lang w:val="en-IE" w:eastAsia="en-GB"/>
        </w:rPr>
        <w:t>,</w:t>
      </w:r>
      <w:r w:rsidRPr="001C75A2">
        <w:rPr>
          <w:i/>
          <w:noProof/>
          <w:sz w:val="22"/>
          <w:lang w:val="en-IE" w:eastAsia="en-GB"/>
        </w:rPr>
        <w:t xml:space="preserve"> Annual Activity Report 2025</w:t>
      </w:r>
      <w:r>
        <w:rPr>
          <w:noProof/>
          <w:sz w:val="22"/>
          <w:lang w:val="en-IE" w:eastAsia="en-GB"/>
        </w:rPr>
        <w:t xml:space="preserve">, </w:t>
      </w:r>
      <w:hyperlink r:id="rId26" w:history="1">
        <w:r w:rsidR="00D005EE" w:rsidRPr="00E627BA">
          <w:rPr>
            <w:rStyle w:val="Hyperlink"/>
            <w:noProof/>
            <w:sz w:val="22"/>
            <w:lang w:val="en-IE" w:eastAsia="en-GB"/>
          </w:rPr>
          <w:t>https://www.defenseurdesdroits.fr/sites/default/files/2026-04/ddd_rapport-annuel-2025_20260407.pdf</w:t>
        </w:r>
      </w:hyperlink>
      <w:r w:rsidR="00D005EE">
        <w:rPr>
          <w:noProof/>
          <w:sz w:val="22"/>
          <w:lang w:val="en-IE" w:eastAsia="en-GB"/>
        </w:rPr>
        <w:t xml:space="preserve">. </w:t>
      </w:r>
    </w:p>
    <w:p w14:paraId="0247E75A" w14:textId="77777777" w:rsidR="00232E3A" w:rsidRDefault="00232E3A" w:rsidP="001A66AF">
      <w:pPr>
        <w:spacing w:after="120"/>
        <w:rPr>
          <w:noProof/>
          <w:sz w:val="22"/>
          <w:lang w:val="en-IE" w:eastAsia="en-GB"/>
        </w:rPr>
      </w:pPr>
      <w:r w:rsidRPr="00756FAD">
        <w:rPr>
          <w:noProof/>
          <w:sz w:val="22"/>
          <w:lang w:val="en-IE" w:eastAsia="en-GB"/>
        </w:rPr>
        <w:t xml:space="preserve">Defender of </w:t>
      </w:r>
      <w:r>
        <w:rPr>
          <w:noProof/>
          <w:sz w:val="22"/>
          <w:lang w:val="en-IE" w:eastAsia="en-GB"/>
        </w:rPr>
        <w:t>R</w:t>
      </w:r>
      <w:r w:rsidRPr="00756FAD">
        <w:rPr>
          <w:noProof/>
          <w:sz w:val="22"/>
          <w:lang w:val="en-IE" w:eastAsia="en-GB"/>
        </w:rPr>
        <w:t>ights</w:t>
      </w:r>
      <w:r>
        <w:rPr>
          <w:noProof/>
          <w:sz w:val="22"/>
          <w:lang w:val="en-IE" w:eastAsia="en-GB"/>
        </w:rPr>
        <w:t xml:space="preserve"> (2026b)</w:t>
      </w:r>
      <w:r w:rsidRPr="00756FAD">
        <w:rPr>
          <w:noProof/>
          <w:sz w:val="22"/>
          <w:lang w:val="en-IE" w:eastAsia="en-GB"/>
        </w:rPr>
        <w:t xml:space="preserve">, </w:t>
      </w:r>
      <w:r w:rsidRPr="001C75A2">
        <w:rPr>
          <w:i/>
          <w:iCs/>
          <w:noProof/>
          <w:sz w:val="22"/>
          <w:lang w:val="en-IE" w:eastAsia="en-GB"/>
        </w:rPr>
        <w:t>Audition at the enquiry committee of the Parliament on Access to justice in overseas territories.</w:t>
      </w:r>
    </w:p>
    <w:p w14:paraId="1B832357" w14:textId="6E051ADE" w:rsidR="00232E3A" w:rsidRDefault="00232E3A" w:rsidP="001A66AF">
      <w:pPr>
        <w:spacing w:after="120"/>
        <w:rPr>
          <w:noProof/>
          <w:sz w:val="22"/>
          <w:lang w:val="en-IE" w:eastAsia="en-GB"/>
        </w:rPr>
      </w:pPr>
      <w:r>
        <w:rPr>
          <w:noProof/>
          <w:sz w:val="22"/>
          <w:lang w:val="en-IE" w:eastAsia="en-GB"/>
        </w:rPr>
        <w:t xml:space="preserve">Defender of Rights (2026c), </w:t>
      </w:r>
      <w:r w:rsidRPr="001C75A2">
        <w:rPr>
          <w:i/>
          <w:iCs/>
          <w:noProof/>
          <w:sz w:val="22"/>
          <w:lang w:val="en-IE" w:eastAsia="en-GB"/>
        </w:rPr>
        <w:t>Report on the Access to a judge</w:t>
      </w:r>
      <w:r>
        <w:rPr>
          <w:i/>
          <w:iCs/>
          <w:noProof/>
          <w:sz w:val="22"/>
          <w:lang w:val="en-IE" w:eastAsia="en-GB"/>
        </w:rPr>
        <w:t>,</w:t>
      </w:r>
      <w:r w:rsidRPr="00710DE3">
        <w:rPr>
          <w:noProof/>
        </w:rPr>
        <w:t xml:space="preserve"> </w:t>
      </w:r>
      <w:hyperlink r:id="rId27" w:history="1">
        <w:r w:rsidR="00D005EE" w:rsidRPr="00E627BA">
          <w:rPr>
            <w:rStyle w:val="Hyperlink"/>
            <w:noProof/>
            <w:sz w:val="22"/>
            <w:lang w:val="en-IE" w:eastAsia="en-GB"/>
          </w:rPr>
          <w:t>https://www.defenseurdesdroits.fr/sites/default/files/2026-04/ddd_rapport_droit-au-juge_20260415.pdf</w:t>
        </w:r>
      </w:hyperlink>
      <w:r w:rsidR="00D005EE">
        <w:rPr>
          <w:noProof/>
          <w:sz w:val="22"/>
          <w:lang w:val="en-IE" w:eastAsia="en-GB"/>
        </w:rPr>
        <w:t xml:space="preserve">. </w:t>
      </w:r>
      <w:r w:rsidRPr="00FF276F">
        <w:rPr>
          <w:noProof/>
          <w:sz w:val="22"/>
          <w:lang w:val="en-IE" w:eastAsia="en-GB"/>
        </w:rPr>
        <w:t xml:space="preserve"> </w:t>
      </w:r>
    </w:p>
    <w:p w14:paraId="10EF8A91" w14:textId="095C99AA" w:rsidR="00232E3A" w:rsidRPr="00EE416C" w:rsidRDefault="00232E3A" w:rsidP="001A66AF">
      <w:pPr>
        <w:spacing w:after="120"/>
        <w:rPr>
          <w:noProof/>
          <w:sz w:val="22"/>
          <w:lang w:val="en-IE" w:eastAsia="en-GB"/>
        </w:rPr>
      </w:pPr>
      <w:r w:rsidRPr="00EE416C">
        <w:rPr>
          <w:noProof/>
          <w:sz w:val="22"/>
          <w:lang w:eastAsia="en-GB"/>
        </w:rPr>
        <w:t>ENNHRI (202</w:t>
      </w:r>
      <w:r>
        <w:rPr>
          <w:noProof/>
          <w:sz w:val="22"/>
          <w:lang w:eastAsia="en-GB"/>
        </w:rPr>
        <w:t>6</w:t>
      </w:r>
      <w:r w:rsidRPr="00EE416C">
        <w:rPr>
          <w:noProof/>
          <w:sz w:val="22"/>
          <w:lang w:eastAsia="en-GB"/>
        </w:rPr>
        <w:t xml:space="preserve">), </w:t>
      </w:r>
      <w:r w:rsidRPr="00FF276F">
        <w:rPr>
          <w:i/>
          <w:iCs/>
          <w:noProof/>
          <w:sz w:val="22"/>
          <w:lang w:eastAsia="en-GB"/>
        </w:rPr>
        <w:t>State of the Rule of Law in Europe</w:t>
      </w:r>
      <w:r w:rsidR="005C2539">
        <w:rPr>
          <w:i/>
          <w:iCs/>
          <w:noProof/>
          <w:sz w:val="22"/>
          <w:lang w:eastAsia="en-GB"/>
        </w:rPr>
        <w:t>: France country report</w:t>
      </w:r>
      <w:r>
        <w:rPr>
          <w:i/>
          <w:iCs/>
          <w:noProof/>
          <w:sz w:val="22"/>
          <w:lang w:eastAsia="en-GB"/>
        </w:rPr>
        <w:t xml:space="preserve">, </w:t>
      </w:r>
      <w:hyperlink r:id="rId28" w:history="1">
        <w:r w:rsidR="00D005EE" w:rsidRPr="00E627BA">
          <w:rPr>
            <w:rStyle w:val="Hyperlink"/>
            <w:noProof/>
            <w:sz w:val="22"/>
            <w:lang w:eastAsia="en-GB"/>
          </w:rPr>
          <w:t>https://rule-of-law.ennhri.org/export?country%5B0%5D=69&amp;year%5B0%5D=2026</w:t>
        </w:r>
      </w:hyperlink>
      <w:r w:rsidR="00D005EE">
        <w:rPr>
          <w:noProof/>
          <w:sz w:val="22"/>
          <w:lang w:eastAsia="en-GB"/>
        </w:rPr>
        <w:t xml:space="preserve">. </w:t>
      </w:r>
    </w:p>
    <w:p w14:paraId="50A38B81" w14:textId="77777777" w:rsidR="00232E3A" w:rsidRPr="00595DB2" w:rsidRDefault="00232E3A" w:rsidP="001A66AF">
      <w:pPr>
        <w:spacing w:after="120"/>
        <w:rPr>
          <w:i/>
          <w:noProof/>
          <w:sz w:val="22"/>
          <w:lang w:val="en-IE" w:eastAsia="en-GB"/>
        </w:rPr>
      </w:pPr>
      <w:r>
        <w:rPr>
          <w:noProof/>
          <w:sz w:val="22"/>
          <w:lang w:val="en-IE" w:eastAsia="en-GB"/>
        </w:rPr>
        <w:t xml:space="preserve">European Association of Judges (2026), </w:t>
      </w:r>
      <w:r w:rsidRPr="00595DB2">
        <w:rPr>
          <w:i/>
          <w:noProof/>
          <w:sz w:val="22"/>
          <w:lang w:val="en-IE" w:eastAsia="en-GB"/>
        </w:rPr>
        <w:t>Input from the European Association of Judges to the 2026 Rule for the 2026 Rule of Law Report.</w:t>
      </w:r>
    </w:p>
    <w:p w14:paraId="2D2BC1DC" w14:textId="5C3490A9" w:rsidR="00232E3A" w:rsidRDefault="00232E3A" w:rsidP="001A66AF">
      <w:pPr>
        <w:spacing w:after="120"/>
        <w:rPr>
          <w:noProof/>
          <w:sz w:val="22"/>
          <w:lang w:val="en-IE" w:eastAsia="en-GB"/>
        </w:rPr>
      </w:pPr>
      <w:r>
        <w:rPr>
          <w:noProof/>
          <w:sz w:val="22"/>
          <w:lang w:val="en-IE" w:eastAsia="en-GB"/>
        </w:rPr>
        <w:t xml:space="preserve">European Civic Forum (2026), </w:t>
      </w:r>
      <w:r w:rsidRPr="001C75A2">
        <w:rPr>
          <w:i/>
          <w:noProof/>
          <w:sz w:val="22"/>
          <w:lang w:val="en-IE" w:eastAsia="en-GB"/>
        </w:rPr>
        <w:t>2026 Civic Space Report, chapter on France</w:t>
      </w:r>
      <w:r>
        <w:rPr>
          <w:noProof/>
          <w:sz w:val="22"/>
          <w:lang w:val="en-IE" w:eastAsia="en-GB"/>
        </w:rPr>
        <w:t>,</w:t>
      </w:r>
      <w:r w:rsidRPr="00D36875">
        <w:rPr>
          <w:noProof/>
        </w:rPr>
        <w:t xml:space="preserve"> </w:t>
      </w:r>
      <w:hyperlink r:id="rId29" w:history="1">
        <w:r w:rsidR="00D005EE" w:rsidRPr="00E627BA">
          <w:rPr>
            <w:rStyle w:val="Hyperlink"/>
            <w:noProof/>
            <w:sz w:val="22"/>
            <w:lang w:val="en-IE" w:eastAsia="en-GB"/>
          </w:rPr>
          <w:t>https://civicspacewatch.eu/wp-content/uploads/2026/05/Civic-Space-Report-2026-European-Civic-Forum-3.pdf</w:t>
        </w:r>
      </w:hyperlink>
      <w:r w:rsidR="00D005EE">
        <w:rPr>
          <w:noProof/>
          <w:sz w:val="22"/>
          <w:lang w:val="en-IE" w:eastAsia="en-GB"/>
        </w:rPr>
        <w:t xml:space="preserve">. </w:t>
      </w:r>
      <w:r>
        <w:rPr>
          <w:noProof/>
          <w:sz w:val="22"/>
          <w:lang w:val="en-IE" w:eastAsia="en-GB"/>
        </w:rPr>
        <w:t xml:space="preserve"> </w:t>
      </w:r>
    </w:p>
    <w:p w14:paraId="02B8E147" w14:textId="77777777" w:rsidR="00232E3A" w:rsidRDefault="00232E3A" w:rsidP="001A66AF">
      <w:pPr>
        <w:spacing w:after="120"/>
        <w:rPr>
          <w:i/>
          <w:noProof/>
          <w:sz w:val="22"/>
          <w:lang w:val="en-IE" w:eastAsia="en-GB"/>
        </w:rPr>
      </w:pPr>
      <w:r w:rsidRPr="00756FAD">
        <w:rPr>
          <w:noProof/>
          <w:sz w:val="22"/>
          <w:lang w:val="en-IE" w:eastAsia="en-GB"/>
        </w:rPr>
        <w:t xml:space="preserve">European Civic Space (2025), </w:t>
      </w:r>
      <w:r w:rsidRPr="001C75A2">
        <w:rPr>
          <w:i/>
          <w:noProof/>
          <w:sz w:val="22"/>
          <w:lang w:val="en-IE" w:eastAsia="en-GB"/>
        </w:rPr>
        <w:t>Monitoring Action for Civic Space, Country Report France.</w:t>
      </w:r>
    </w:p>
    <w:p w14:paraId="6A4886A9" w14:textId="77777777" w:rsidR="00232E3A" w:rsidRPr="00595DB2" w:rsidRDefault="00232E3A" w:rsidP="001A66AF">
      <w:pPr>
        <w:spacing w:after="120"/>
        <w:rPr>
          <w:noProof/>
          <w:sz w:val="22"/>
          <w:lang w:val="en-IE" w:eastAsia="en-GB"/>
        </w:rPr>
      </w:pPr>
      <w:r>
        <w:rPr>
          <w:iCs/>
          <w:noProof/>
          <w:sz w:val="22"/>
          <w:lang w:val="en-IE" w:eastAsia="en-GB"/>
        </w:rPr>
        <w:t xml:space="preserve">European Commission (2026), </w:t>
      </w:r>
      <w:r>
        <w:rPr>
          <w:i/>
          <w:noProof/>
          <w:sz w:val="22"/>
          <w:lang w:val="en-IE" w:eastAsia="en-GB"/>
        </w:rPr>
        <w:t xml:space="preserve">Country report France, </w:t>
      </w:r>
      <w:r w:rsidRPr="00595DB2">
        <w:rPr>
          <w:noProof/>
          <w:sz w:val="22"/>
          <w:lang w:val="en-IE" w:eastAsia="en-GB"/>
        </w:rPr>
        <w:t xml:space="preserve">SWD(2026) 1007 final. </w:t>
      </w:r>
    </w:p>
    <w:p w14:paraId="7B62EFE7" w14:textId="77777777" w:rsidR="00232E3A" w:rsidRPr="00792295" w:rsidRDefault="00232E3A" w:rsidP="001A66AF">
      <w:pPr>
        <w:spacing w:after="120"/>
        <w:rPr>
          <w:i/>
          <w:noProof/>
          <w:sz w:val="22"/>
          <w:lang w:val="en-IE" w:eastAsia="en-GB"/>
        </w:rPr>
      </w:pPr>
      <w:r w:rsidRPr="00792295">
        <w:rPr>
          <w:noProof/>
          <w:sz w:val="22"/>
          <w:lang w:val="en-IE" w:eastAsia="en-GB"/>
        </w:rPr>
        <w:t>European Commission (2026),</w:t>
      </w:r>
      <w:r w:rsidRPr="00792295">
        <w:rPr>
          <w:i/>
          <w:noProof/>
          <w:sz w:val="22"/>
          <w:lang w:val="en-IE" w:eastAsia="en-GB"/>
        </w:rPr>
        <w:t xml:space="preserve"> EU Justice Scoreboard.</w:t>
      </w:r>
    </w:p>
    <w:p w14:paraId="70D175C4" w14:textId="15C48E06" w:rsidR="00A24023" w:rsidRPr="00792295" w:rsidRDefault="00A24023" w:rsidP="00A24023">
      <w:pPr>
        <w:spacing w:after="120"/>
        <w:rPr>
          <w:i/>
          <w:noProof/>
          <w:sz w:val="22"/>
          <w:lang w:val="en-IE" w:eastAsia="en-GB"/>
        </w:rPr>
      </w:pPr>
      <w:r w:rsidRPr="00792295">
        <w:rPr>
          <w:noProof/>
          <w:sz w:val="22"/>
          <w:lang w:val="en-IE" w:eastAsia="en-GB"/>
        </w:rPr>
        <w:t>European Commission (2025),</w:t>
      </w:r>
      <w:r w:rsidRPr="00792295">
        <w:rPr>
          <w:i/>
          <w:noProof/>
          <w:sz w:val="22"/>
          <w:lang w:val="en-IE" w:eastAsia="en-GB"/>
        </w:rPr>
        <w:t xml:space="preserve"> EU Justice Scoreboard.</w:t>
      </w:r>
    </w:p>
    <w:p w14:paraId="3DA877F6" w14:textId="77777777" w:rsidR="00A24023" w:rsidRDefault="00A24023" w:rsidP="00A24023">
      <w:pPr>
        <w:spacing w:after="120"/>
        <w:rPr>
          <w:i/>
          <w:noProof/>
          <w:sz w:val="22"/>
          <w:lang w:eastAsia="en-GB"/>
        </w:rPr>
      </w:pPr>
      <w:r w:rsidRPr="00595DB2">
        <w:rPr>
          <w:noProof/>
          <w:sz w:val="22"/>
          <w:lang w:eastAsia="en-GB"/>
        </w:rPr>
        <w:t>European Commission (202</w:t>
      </w:r>
      <w:r>
        <w:rPr>
          <w:iCs/>
          <w:noProof/>
          <w:sz w:val="22"/>
          <w:lang w:eastAsia="en-GB"/>
        </w:rPr>
        <w:t>5</w:t>
      </w:r>
      <w:r w:rsidRPr="00595DB2">
        <w:rPr>
          <w:noProof/>
          <w:sz w:val="22"/>
          <w:lang w:eastAsia="en-GB"/>
        </w:rPr>
        <w:t>),</w:t>
      </w:r>
      <w:r w:rsidRPr="002D24C7">
        <w:rPr>
          <w:i/>
          <w:noProof/>
          <w:sz w:val="22"/>
          <w:lang w:eastAsia="en-GB"/>
        </w:rPr>
        <w:t xml:space="preserve"> 202</w:t>
      </w:r>
      <w:r>
        <w:rPr>
          <w:i/>
          <w:noProof/>
          <w:sz w:val="22"/>
          <w:lang w:eastAsia="en-GB"/>
        </w:rPr>
        <w:t>5</w:t>
      </w:r>
      <w:r w:rsidRPr="002D24C7">
        <w:rPr>
          <w:i/>
          <w:noProof/>
          <w:sz w:val="22"/>
          <w:lang w:eastAsia="en-GB"/>
        </w:rPr>
        <w:t xml:space="preserve"> Rule of Law Report, Country Chapter on the rule of law situation in France.</w:t>
      </w:r>
    </w:p>
    <w:p w14:paraId="1D9A5EC4" w14:textId="77777777" w:rsidR="00232E3A" w:rsidRPr="0024379F" w:rsidRDefault="00232E3A" w:rsidP="00AD63B1">
      <w:pPr>
        <w:spacing w:after="120"/>
        <w:rPr>
          <w:iCs/>
          <w:noProof/>
          <w:sz w:val="22"/>
          <w:lang w:val="en-IE"/>
        </w:rPr>
      </w:pPr>
      <w:r>
        <w:rPr>
          <w:iCs/>
          <w:noProof/>
          <w:sz w:val="22"/>
          <w:lang w:val="en-IE"/>
        </w:rPr>
        <w:t xml:space="preserve">European Commission, </w:t>
      </w:r>
      <w:r w:rsidRPr="00B41273">
        <w:rPr>
          <w:i/>
          <w:noProof/>
          <w:sz w:val="22"/>
          <w:lang w:val="en-IE"/>
        </w:rPr>
        <w:t>Recommendation for a Council Recommendation, on the economic, social, employment, structural and budgetary policies of France</w:t>
      </w:r>
      <w:r>
        <w:rPr>
          <w:iCs/>
          <w:noProof/>
          <w:sz w:val="22"/>
          <w:lang w:val="en-IE"/>
        </w:rPr>
        <w:t xml:space="preserve">, </w:t>
      </w:r>
      <w:r w:rsidRPr="004155B1">
        <w:rPr>
          <w:iCs/>
          <w:noProof/>
          <w:sz w:val="22"/>
          <w:lang w:val="en-IE"/>
        </w:rPr>
        <w:t>COM(2026) 210 final</w:t>
      </w:r>
      <w:r>
        <w:rPr>
          <w:iCs/>
          <w:noProof/>
          <w:sz w:val="22"/>
          <w:lang w:val="en-IE"/>
        </w:rPr>
        <w:t>.</w:t>
      </w:r>
    </w:p>
    <w:p w14:paraId="463243C5" w14:textId="77777777" w:rsidR="00232E3A" w:rsidRDefault="00232E3A" w:rsidP="00AD63B1">
      <w:pPr>
        <w:spacing w:after="120"/>
        <w:rPr>
          <w:i/>
          <w:noProof/>
          <w:sz w:val="22"/>
          <w:lang w:eastAsia="en-GB"/>
        </w:rPr>
      </w:pPr>
      <w:r>
        <w:rPr>
          <w:iCs/>
          <w:noProof/>
          <w:sz w:val="22"/>
          <w:lang w:eastAsia="en-GB"/>
        </w:rPr>
        <w:t xml:space="preserve">European Court of Human Rights, </w:t>
      </w:r>
      <w:r>
        <w:rPr>
          <w:i/>
          <w:noProof/>
          <w:sz w:val="22"/>
          <w:lang w:eastAsia="en-GB"/>
        </w:rPr>
        <w:t>Barret and Sirjean v. France of 3 July 2007.</w:t>
      </w:r>
    </w:p>
    <w:p w14:paraId="115EA9BF" w14:textId="77777777" w:rsidR="00232E3A" w:rsidRPr="00595DB2" w:rsidRDefault="00232E3A" w:rsidP="00AD63B1">
      <w:pPr>
        <w:spacing w:after="120"/>
        <w:rPr>
          <w:noProof/>
          <w:sz w:val="22"/>
          <w:lang w:val="en-IE" w:eastAsia="en-GB"/>
        </w:rPr>
      </w:pPr>
      <w:r>
        <w:rPr>
          <w:iCs/>
          <w:noProof/>
          <w:sz w:val="22"/>
          <w:lang w:eastAsia="en-GB"/>
        </w:rPr>
        <w:t xml:space="preserve">European Court of Human Rights, </w:t>
      </w:r>
      <w:r>
        <w:rPr>
          <w:i/>
          <w:noProof/>
          <w:sz w:val="22"/>
          <w:lang w:eastAsia="en-GB"/>
        </w:rPr>
        <w:t>Fraisse and Others v. France of 30 June 2025</w:t>
      </w:r>
      <w:r>
        <w:rPr>
          <w:iCs/>
          <w:noProof/>
          <w:sz w:val="22"/>
          <w:lang w:eastAsia="en-GB"/>
        </w:rPr>
        <w:t xml:space="preserve">, </w:t>
      </w:r>
      <w:hyperlink r:id="rId30" w:anchor="{%22itemid%22:[%22001-241984%22]}" w:history="1">
        <w:r w:rsidRPr="00D86716">
          <w:rPr>
            <w:rStyle w:val="Hyperlink"/>
            <w:iCs/>
            <w:noProof/>
            <w:sz w:val="22"/>
            <w:lang w:eastAsia="en-GB"/>
          </w:rPr>
          <w:t>https://hudoc.echr.coe.int/eng#{%22itemid%22:[%22001-241984%22]}</w:t>
        </w:r>
      </w:hyperlink>
      <w:r>
        <w:rPr>
          <w:iCs/>
          <w:noProof/>
          <w:sz w:val="22"/>
          <w:lang w:eastAsia="en-GB"/>
        </w:rPr>
        <w:t xml:space="preserve">. </w:t>
      </w:r>
    </w:p>
    <w:p w14:paraId="77A2BB4E" w14:textId="77777777" w:rsidR="00232E3A" w:rsidRDefault="00232E3A" w:rsidP="001A66AF">
      <w:pPr>
        <w:spacing w:after="120"/>
        <w:rPr>
          <w:iCs/>
          <w:noProof/>
          <w:sz w:val="22"/>
          <w:lang w:eastAsia="en-GB"/>
        </w:rPr>
      </w:pPr>
      <w:r>
        <w:rPr>
          <w:iCs/>
          <w:noProof/>
          <w:sz w:val="22"/>
          <w:lang w:eastAsia="en-GB"/>
        </w:rPr>
        <w:t xml:space="preserve">European Court of Human Rights, </w:t>
      </w:r>
      <w:r w:rsidRPr="00595DB2">
        <w:rPr>
          <w:i/>
          <w:noProof/>
          <w:sz w:val="22"/>
          <w:lang w:eastAsia="en-GB"/>
        </w:rPr>
        <w:t>Ludes and Others v. France of 3 July 2025</w:t>
      </w:r>
      <w:r>
        <w:rPr>
          <w:iCs/>
          <w:noProof/>
          <w:sz w:val="22"/>
          <w:lang w:eastAsia="en-GB"/>
        </w:rPr>
        <w:t xml:space="preserve">, </w:t>
      </w:r>
      <w:hyperlink r:id="rId31" w:anchor="{%22itemid%22:[%22002-14486%22]}" w:history="1">
        <w:r w:rsidRPr="008A4A73">
          <w:rPr>
            <w:rStyle w:val="Hyperlink"/>
            <w:iCs/>
            <w:noProof/>
            <w:sz w:val="22"/>
            <w:lang w:eastAsia="en-GB"/>
          </w:rPr>
          <w:t>https://hudoc.echr.coe.int/rum#{%22itemid%22:[%22002-14486%22]}</w:t>
        </w:r>
      </w:hyperlink>
      <w:r>
        <w:rPr>
          <w:noProof/>
        </w:rPr>
        <w:t>.</w:t>
      </w:r>
    </w:p>
    <w:p w14:paraId="38F8A502" w14:textId="77777777" w:rsidR="00232E3A" w:rsidRPr="001C75A2" w:rsidRDefault="00232E3A" w:rsidP="00AD63B1">
      <w:pPr>
        <w:spacing w:after="120"/>
        <w:rPr>
          <w:i/>
          <w:noProof/>
          <w:sz w:val="22"/>
          <w:lang w:val="en-IE" w:eastAsia="en-GB"/>
        </w:rPr>
      </w:pPr>
      <w:r w:rsidRPr="001C75A2">
        <w:rPr>
          <w:iCs/>
          <w:noProof/>
          <w:sz w:val="22"/>
          <w:lang w:val="en-IE" w:eastAsia="en-GB"/>
        </w:rPr>
        <w:t>European Federation of Journalists (2026),</w:t>
      </w:r>
      <w:r>
        <w:rPr>
          <w:i/>
          <w:noProof/>
          <w:sz w:val="22"/>
          <w:lang w:val="en-IE" w:eastAsia="en-GB"/>
        </w:rPr>
        <w:t xml:space="preserve"> Input from the European Federation of Journalists to the 2026 Rule of Law Report.</w:t>
      </w:r>
    </w:p>
    <w:p w14:paraId="35DF195D" w14:textId="77777777" w:rsidR="00232E3A" w:rsidRDefault="00232E3A" w:rsidP="00AD63B1">
      <w:pPr>
        <w:spacing w:after="120"/>
        <w:rPr>
          <w:noProof/>
          <w:sz w:val="22"/>
          <w:lang w:val="en-IE"/>
        </w:rPr>
      </w:pPr>
      <w:r w:rsidRPr="00A905E2">
        <w:rPr>
          <w:noProof/>
          <w:sz w:val="22"/>
        </w:rPr>
        <w:t xml:space="preserve">European Implementation Network (2026), </w:t>
      </w:r>
      <w:r w:rsidRPr="00A905E2">
        <w:rPr>
          <w:i/>
          <w:iCs/>
          <w:noProof/>
          <w:sz w:val="22"/>
        </w:rPr>
        <w:t>Input from the European Implementation Network for the 2026 Rule of Law Report</w:t>
      </w:r>
      <w:r w:rsidRPr="00A905E2">
        <w:rPr>
          <w:noProof/>
          <w:sz w:val="22"/>
          <w:lang w:val="en-IE"/>
        </w:rPr>
        <w:t>.</w:t>
      </w:r>
    </w:p>
    <w:p w14:paraId="4ADCE43E" w14:textId="77777777" w:rsidR="00232E3A" w:rsidRPr="00595DB2" w:rsidRDefault="00232E3A" w:rsidP="00AD63B1">
      <w:pPr>
        <w:spacing w:after="120"/>
        <w:rPr>
          <w:i/>
          <w:noProof/>
          <w:sz w:val="22"/>
          <w:lang w:val="en-IE"/>
        </w:rPr>
      </w:pPr>
      <w:r>
        <w:rPr>
          <w:noProof/>
          <w:sz w:val="22"/>
          <w:lang w:val="en-IE"/>
        </w:rPr>
        <w:t xml:space="preserve">European Investment Bank, </w:t>
      </w:r>
      <w:r>
        <w:rPr>
          <w:i/>
          <w:iCs/>
          <w:noProof/>
          <w:sz w:val="22"/>
          <w:lang w:val="en-IE"/>
        </w:rPr>
        <w:t xml:space="preserve">EIN Investment Survey. </w:t>
      </w:r>
    </w:p>
    <w:p w14:paraId="172D081A" w14:textId="77777777" w:rsidR="00232E3A" w:rsidRPr="00E16797" w:rsidRDefault="00232E3A" w:rsidP="00AD63B1">
      <w:pPr>
        <w:spacing w:after="120"/>
        <w:rPr>
          <w:i/>
          <w:noProof/>
          <w:sz w:val="22"/>
          <w:szCs w:val="22"/>
          <w:lang w:val="en-IE"/>
        </w:rPr>
      </w:pPr>
      <w:r>
        <w:rPr>
          <w:noProof/>
          <w:sz w:val="22"/>
          <w:lang w:val="en-IE"/>
        </w:rPr>
        <w:t>European Network of Council of the Judiciary (ENCJ) (2026</w:t>
      </w:r>
      <w:r w:rsidRPr="00595DB2">
        <w:rPr>
          <w:i/>
          <w:noProof/>
          <w:sz w:val="22"/>
          <w:lang w:val="en-IE"/>
        </w:rPr>
        <w:t>), Input from the ENCJ to the 2026 Rule of Law Report.</w:t>
      </w:r>
    </w:p>
    <w:p w14:paraId="359C7E4D" w14:textId="77777777" w:rsidR="00232E3A" w:rsidRPr="00E16797" w:rsidRDefault="00232E3A" w:rsidP="001A66AF">
      <w:pPr>
        <w:pStyle w:val="FootnoteText"/>
        <w:spacing w:after="120"/>
        <w:ind w:left="0" w:firstLine="0"/>
        <w:rPr>
          <w:i/>
          <w:iCs/>
          <w:noProof/>
          <w:sz w:val="22"/>
          <w:szCs w:val="22"/>
          <w:lang w:val="en-IE"/>
        </w:rPr>
      </w:pPr>
      <w:r w:rsidRPr="00E16797">
        <w:rPr>
          <w:noProof/>
          <w:sz w:val="22"/>
          <w:szCs w:val="22"/>
          <w:lang w:val="en-IE" w:eastAsia="en-GB"/>
        </w:rPr>
        <w:t xml:space="preserve">European Network of National Human Rights’ Institutions </w:t>
      </w:r>
      <w:r w:rsidRPr="00E16797">
        <w:rPr>
          <w:noProof/>
          <w:sz w:val="22"/>
          <w:szCs w:val="22"/>
          <w:lang w:val="en-IE"/>
        </w:rPr>
        <w:t xml:space="preserve">(2026), </w:t>
      </w:r>
      <w:r w:rsidRPr="00E16797">
        <w:rPr>
          <w:i/>
          <w:iCs/>
          <w:noProof/>
          <w:sz w:val="22"/>
          <w:szCs w:val="22"/>
          <w:lang w:val="en-IE"/>
        </w:rPr>
        <w:t>Report on the rule of law and human rights in the EU, Country report on France.</w:t>
      </w:r>
    </w:p>
    <w:p w14:paraId="4FA613EF" w14:textId="1650F247" w:rsidR="00232E3A" w:rsidRDefault="00232E3A" w:rsidP="00AD63B1">
      <w:pPr>
        <w:spacing w:after="120"/>
        <w:rPr>
          <w:i/>
          <w:noProof/>
          <w:sz w:val="22"/>
          <w:lang w:val="en-IE" w:eastAsia="en-GB"/>
        </w:rPr>
      </w:pPr>
      <w:r w:rsidRPr="00756FAD">
        <w:rPr>
          <w:noProof/>
          <w:sz w:val="22"/>
          <w:lang w:val="en-IE" w:eastAsia="en-GB"/>
        </w:rPr>
        <w:t xml:space="preserve">FIDH (2025), </w:t>
      </w:r>
      <w:r>
        <w:rPr>
          <w:i/>
          <w:noProof/>
          <w:sz w:val="22"/>
          <w:lang w:val="en-IE" w:eastAsia="en-GB"/>
        </w:rPr>
        <w:t>France: Dropping out of Democracy</w:t>
      </w:r>
      <w:r w:rsidRPr="001C75A2">
        <w:rPr>
          <w:i/>
          <w:noProof/>
          <w:sz w:val="22"/>
          <w:lang w:val="en-IE" w:eastAsia="en-GB"/>
        </w:rPr>
        <w:t>.</w:t>
      </w:r>
    </w:p>
    <w:p w14:paraId="31578800" w14:textId="77777777" w:rsidR="00232E3A" w:rsidRDefault="00232E3A" w:rsidP="00AD63B1">
      <w:pPr>
        <w:spacing w:after="120"/>
        <w:jc w:val="left"/>
        <w:rPr>
          <w:noProof/>
          <w:sz w:val="22"/>
        </w:rPr>
      </w:pPr>
      <w:r>
        <w:rPr>
          <w:noProof/>
          <w:sz w:val="22"/>
        </w:rPr>
        <w:t xml:space="preserve">French Anticorruption Agency (2025) </w:t>
      </w:r>
      <w:r w:rsidRPr="00D45455">
        <w:rPr>
          <w:i/>
          <w:iCs/>
          <w:noProof/>
          <w:sz w:val="22"/>
        </w:rPr>
        <w:t>National Anticorruption Plan</w:t>
      </w:r>
      <w:r>
        <w:rPr>
          <w:noProof/>
          <w:sz w:val="22"/>
        </w:rPr>
        <w:t xml:space="preserve"> </w:t>
      </w:r>
      <w:r w:rsidRPr="00D45455">
        <w:rPr>
          <w:i/>
          <w:iCs/>
          <w:noProof/>
          <w:sz w:val="22"/>
        </w:rPr>
        <w:t>2025 - 2029.</w:t>
      </w:r>
    </w:p>
    <w:p w14:paraId="0609291E" w14:textId="40C420CF" w:rsidR="00232E3A" w:rsidRDefault="00232E3A" w:rsidP="00AD63B1">
      <w:pPr>
        <w:spacing w:after="120"/>
        <w:rPr>
          <w:iCs/>
          <w:noProof/>
          <w:sz w:val="22"/>
          <w:lang w:val="en-IE" w:eastAsia="en-GB"/>
        </w:rPr>
      </w:pPr>
      <w:r>
        <w:rPr>
          <w:iCs/>
          <w:noProof/>
          <w:sz w:val="22"/>
          <w:lang w:val="en-IE" w:eastAsia="en-GB"/>
        </w:rPr>
        <w:t xml:space="preserve">French Anti-corruption Agency, </w:t>
      </w:r>
      <w:hyperlink r:id="rId32" w:history="1">
        <w:r w:rsidRPr="008A4A73">
          <w:rPr>
            <w:rStyle w:val="Hyperlink"/>
            <w:iCs/>
            <w:noProof/>
            <w:sz w:val="22"/>
            <w:lang w:val="en-IE" w:eastAsia="en-GB"/>
          </w:rPr>
          <w:t>https://www.agence-francaise-anticorruption.gouv.fr/fr</w:t>
        </w:r>
      </w:hyperlink>
      <w:r w:rsidR="00E16797">
        <w:rPr>
          <w:noProof/>
        </w:rPr>
        <w:t>.</w:t>
      </w:r>
    </w:p>
    <w:p w14:paraId="287B1175" w14:textId="3F2B70A7" w:rsidR="00232E3A" w:rsidRDefault="00232E3A" w:rsidP="00AD63B1">
      <w:pPr>
        <w:spacing w:after="120"/>
        <w:rPr>
          <w:noProof/>
          <w:sz w:val="22"/>
          <w:lang w:eastAsia="en-GB"/>
        </w:rPr>
      </w:pPr>
      <w:r>
        <w:rPr>
          <w:noProof/>
          <w:sz w:val="22"/>
          <w:lang w:eastAsia="en-GB"/>
        </w:rPr>
        <w:t xml:space="preserve">French Government (2025), </w:t>
      </w:r>
      <w:r w:rsidRPr="001C75A2">
        <w:rPr>
          <w:i/>
          <w:iCs/>
          <w:noProof/>
          <w:sz w:val="22"/>
          <w:lang w:eastAsia="en-GB"/>
        </w:rPr>
        <w:t>National Plan Against Corruption 2025-2029</w:t>
      </w:r>
      <w:r>
        <w:rPr>
          <w:noProof/>
          <w:sz w:val="22"/>
          <w:lang w:eastAsia="en-GB"/>
        </w:rPr>
        <w:t xml:space="preserve"> available at: </w:t>
      </w:r>
      <w:hyperlink r:id="rId33" w:history="1">
        <w:r w:rsidRPr="00F35EF3">
          <w:rPr>
            <w:rStyle w:val="Hyperlink"/>
            <w:noProof/>
            <w:sz w:val="22"/>
            <w:lang w:eastAsia="en-GB"/>
          </w:rPr>
          <w:t>https://www.agence-francaise-anticorruption.gouv.fr/files/2026-03/National%20Multi-Year%20Plan%20to%20Fight%20Corruption%202025-2029.pdf</w:t>
        </w:r>
      </w:hyperlink>
      <w:r>
        <w:rPr>
          <w:noProof/>
          <w:sz w:val="22"/>
          <w:lang w:eastAsia="en-GB"/>
        </w:rPr>
        <w:t>.</w:t>
      </w:r>
    </w:p>
    <w:p w14:paraId="145979C4" w14:textId="77777777" w:rsidR="00232E3A" w:rsidRDefault="00232E3A" w:rsidP="00AD63B1">
      <w:pPr>
        <w:spacing w:after="120"/>
        <w:rPr>
          <w:i/>
          <w:noProof/>
          <w:sz w:val="22"/>
          <w:lang w:eastAsia="en-GB"/>
        </w:rPr>
      </w:pPr>
      <w:r w:rsidRPr="0075280C">
        <w:rPr>
          <w:noProof/>
          <w:sz w:val="22"/>
          <w:lang w:eastAsia="en-GB"/>
        </w:rPr>
        <w:t>French Government (202</w:t>
      </w:r>
      <w:r>
        <w:rPr>
          <w:noProof/>
          <w:sz w:val="22"/>
          <w:lang w:eastAsia="en-GB"/>
        </w:rPr>
        <w:t>6a</w:t>
      </w:r>
      <w:r w:rsidRPr="0075280C">
        <w:rPr>
          <w:noProof/>
          <w:sz w:val="22"/>
          <w:lang w:eastAsia="en-GB"/>
        </w:rPr>
        <w:t xml:space="preserve">), </w:t>
      </w:r>
      <w:r w:rsidRPr="00595DB2">
        <w:rPr>
          <w:i/>
          <w:noProof/>
          <w:sz w:val="22"/>
          <w:lang w:eastAsia="en-GB"/>
        </w:rPr>
        <w:t>Input from France for the 2026 Rule of Law Report.</w:t>
      </w:r>
    </w:p>
    <w:p w14:paraId="47A119E3" w14:textId="77777777" w:rsidR="00232E3A" w:rsidRPr="00CD157B" w:rsidRDefault="00232E3A" w:rsidP="00AD63B1">
      <w:pPr>
        <w:spacing w:after="120"/>
        <w:rPr>
          <w:i/>
          <w:noProof/>
          <w:sz w:val="22"/>
          <w:lang w:eastAsia="en-GB"/>
        </w:rPr>
      </w:pPr>
      <w:r>
        <w:rPr>
          <w:iCs/>
          <w:noProof/>
          <w:sz w:val="22"/>
          <w:lang w:eastAsia="en-GB"/>
        </w:rPr>
        <w:t xml:space="preserve">French Government (2026b), </w:t>
      </w:r>
      <w:r>
        <w:rPr>
          <w:i/>
          <w:noProof/>
          <w:sz w:val="22"/>
          <w:lang w:eastAsia="en-GB"/>
        </w:rPr>
        <w:t xml:space="preserve">Additional input from France for the 2026 Rule of Law Report. </w:t>
      </w:r>
    </w:p>
    <w:p w14:paraId="0A6AF076" w14:textId="77777777" w:rsidR="00232E3A" w:rsidRPr="00FF276F" w:rsidRDefault="00232E3A" w:rsidP="00AD63B1">
      <w:pPr>
        <w:spacing w:after="120"/>
        <w:rPr>
          <w:i/>
          <w:iCs/>
          <w:noProof/>
          <w:sz w:val="22"/>
          <w:lang w:val="en-IE" w:eastAsia="en-GB"/>
        </w:rPr>
      </w:pPr>
      <w:r w:rsidRPr="00FF276F">
        <w:rPr>
          <w:noProof/>
          <w:sz w:val="22"/>
          <w:lang w:val="en-IE" w:eastAsia="en-GB"/>
        </w:rPr>
        <w:t xml:space="preserve">Fundamental Rights Agency (2026a), </w:t>
      </w:r>
      <w:r w:rsidRPr="00FF276F">
        <w:rPr>
          <w:i/>
          <w:iCs/>
          <w:noProof/>
          <w:sz w:val="22"/>
          <w:lang w:val="en-IE" w:eastAsia="en-GB"/>
        </w:rPr>
        <w:t>Civic Space in the EU in 2025.</w:t>
      </w:r>
    </w:p>
    <w:p w14:paraId="2EFB1701" w14:textId="77777777" w:rsidR="00BB1C76" w:rsidRDefault="00BB1C76" w:rsidP="00BB1C76">
      <w:pPr>
        <w:spacing w:after="120"/>
        <w:rPr>
          <w:noProof/>
          <w:sz w:val="22"/>
          <w:lang w:val="en-IE" w:eastAsia="en-GB"/>
        </w:rPr>
      </w:pPr>
      <w:r w:rsidRPr="00756FAD">
        <w:rPr>
          <w:noProof/>
          <w:sz w:val="22"/>
          <w:lang w:val="en-IE" w:eastAsia="en-GB"/>
        </w:rPr>
        <w:t xml:space="preserve">GRECO (2025), </w:t>
      </w:r>
      <w:r w:rsidRPr="00CE005C">
        <w:rPr>
          <w:i/>
          <w:noProof/>
          <w:sz w:val="22"/>
          <w:lang w:val="en-IE" w:eastAsia="en-GB"/>
        </w:rPr>
        <w:t>fifth evaluation round, addendum to the 2nd compliance report</w:t>
      </w:r>
      <w:r>
        <w:rPr>
          <w:noProof/>
          <w:sz w:val="22"/>
          <w:lang w:val="en-IE" w:eastAsia="en-GB"/>
        </w:rPr>
        <w:t xml:space="preserve"> available at</w:t>
      </w:r>
      <w:r w:rsidRPr="008957BC">
        <w:rPr>
          <w:noProof/>
        </w:rPr>
        <w:t xml:space="preserve"> </w:t>
      </w:r>
      <w:hyperlink r:id="rId34" w:history="1">
        <w:r w:rsidRPr="00F35EF3">
          <w:rPr>
            <w:rStyle w:val="Hyperlink"/>
            <w:noProof/>
            <w:sz w:val="22"/>
            <w:lang w:val="en-IE" w:eastAsia="en-GB"/>
          </w:rPr>
          <w:t>https://rm.coe.int/grecorc5-2025-19-final-eng-add-to-the-2nd-compliance-report-france-pub/488029c290</w:t>
        </w:r>
      </w:hyperlink>
      <w:r>
        <w:rPr>
          <w:noProof/>
          <w:sz w:val="22"/>
          <w:lang w:val="en-IE" w:eastAsia="en-GB"/>
        </w:rPr>
        <w:t>.</w:t>
      </w:r>
    </w:p>
    <w:p w14:paraId="282C7346" w14:textId="0E70900C" w:rsidR="00232E3A" w:rsidRDefault="00232E3A" w:rsidP="00AD63B1">
      <w:pPr>
        <w:spacing w:after="120"/>
        <w:rPr>
          <w:noProof/>
          <w:sz w:val="22"/>
          <w:lang w:val="en-IE" w:eastAsia="en-GB"/>
        </w:rPr>
      </w:pPr>
      <w:r>
        <w:rPr>
          <w:noProof/>
          <w:sz w:val="22"/>
          <w:lang w:val="en-IE" w:eastAsia="en-GB"/>
        </w:rPr>
        <w:t xml:space="preserve">GRECO (2024), </w:t>
      </w:r>
      <w:r w:rsidRPr="001C75A2">
        <w:rPr>
          <w:i/>
          <w:iCs/>
          <w:noProof/>
          <w:sz w:val="22"/>
          <w:lang w:val="en-IE" w:eastAsia="en-GB"/>
        </w:rPr>
        <w:t>fourth evaluation round, Second addendum to the second compliance report</w:t>
      </w:r>
      <w:r>
        <w:rPr>
          <w:noProof/>
          <w:sz w:val="22"/>
          <w:lang w:val="en-IE" w:eastAsia="en-GB"/>
        </w:rPr>
        <w:t xml:space="preserve"> available at </w:t>
      </w:r>
      <w:hyperlink r:id="rId35" w:history="1">
        <w:r w:rsidRPr="00F35EF3">
          <w:rPr>
            <w:rStyle w:val="Hyperlink"/>
            <w:noProof/>
            <w:sz w:val="22"/>
            <w:lang w:val="en-IE" w:eastAsia="en-GB"/>
          </w:rPr>
          <w:t>https://rm.coe.int/second-addendum-to-the-second-compliance-report-france-4th-evaluation-/1680ae51d2</w:t>
        </w:r>
      </w:hyperlink>
      <w:r>
        <w:rPr>
          <w:noProof/>
          <w:sz w:val="22"/>
          <w:lang w:val="en-IE" w:eastAsia="en-GB"/>
        </w:rPr>
        <w:t>.</w:t>
      </w:r>
    </w:p>
    <w:p w14:paraId="0E695B5C" w14:textId="77777777" w:rsidR="00232E3A" w:rsidRPr="003E1A19" w:rsidRDefault="00232E3A" w:rsidP="00AD63B1">
      <w:pPr>
        <w:spacing w:after="120"/>
        <w:rPr>
          <w:iCs/>
          <w:noProof/>
          <w:sz w:val="22"/>
          <w:lang w:val="en-IE" w:eastAsia="en-GB"/>
        </w:rPr>
      </w:pPr>
      <w:r w:rsidRPr="00A96C3D">
        <w:rPr>
          <w:noProof/>
          <w:sz w:val="22"/>
          <w:lang w:val="en-IE" w:eastAsia="en-GB"/>
        </w:rPr>
        <w:t>High Authority for the Transparency in Public Life</w:t>
      </w:r>
      <w:r>
        <w:rPr>
          <w:noProof/>
          <w:sz w:val="22"/>
          <w:lang w:val="en-IE" w:eastAsia="en-GB"/>
        </w:rPr>
        <w:t xml:space="preserve"> (2026), </w:t>
      </w:r>
      <w:r w:rsidRPr="00A96C3D">
        <w:rPr>
          <w:i/>
          <w:noProof/>
          <w:sz w:val="22"/>
          <w:lang w:val="en-IE" w:eastAsia="en-GB"/>
        </w:rPr>
        <w:t>12 years in the service of public integrity – stocktaking and proposals</w:t>
      </w:r>
      <w:r>
        <w:rPr>
          <w:iCs/>
          <w:noProof/>
          <w:sz w:val="22"/>
          <w:lang w:val="en-IE" w:eastAsia="en-GB"/>
        </w:rPr>
        <w:t xml:space="preserve"> available at </w:t>
      </w:r>
      <w:hyperlink r:id="rId36" w:history="1">
        <w:r w:rsidRPr="00A96C3D">
          <w:rPr>
            <w:rStyle w:val="Hyperlink"/>
            <w:iCs/>
            <w:noProof/>
            <w:sz w:val="22"/>
            <w:lang w:val="en-IE" w:eastAsia="en-GB"/>
          </w:rPr>
          <w:t>https://www.hatvp.fr/wordpress/wp-content/uploads/2026/05/HATVP_BILAN-RAISONNE_dp.pdf</w:t>
        </w:r>
      </w:hyperlink>
    </w:p>
    <w:p w14:paraId="7AE28DC4" w14:textId="77777777" w:rsidR="00232E3A" w:rsidRPr="001C75A2" w:rsidRDefault="00232E3A" w:rsidP="00AD63B1">
      <w:pPr>
        <w:spacing w:after="120"/>
        <w:rPr>
          <w:noProof/>
          <w:sz w:val="22"/>
          <w:lang w:val="fr-BE"/>
        </w:rPr>
      </w:pPr>
      <w:r>
        <w:rPr>
          <w:noProof/>
          <w:sz w:val="22"/>
          <w:lang w:val="en-IE"/>
        </w:rPr>
        <w:t>High Council for the Judiciary (2025),</w:t>
      </w:r>
      <w:r w:rsidRPr="00756FAD">
        <w:rPr>
          <w:noProof/>
          <w:sz w:val="22"/>
          <w:lang w:val="en-IE"/>
        </w:rPr>
        <w:t xml:space="preserve"> </w:t>
      </w:r>
      <w:r>
        <w:rPr>
          <w:noProof/>
          <w:sz w:val="22"/>
          <w:lang w:val="en-IE"/>
        </w:rPr>
        <w:t>w</w:t>
      </w:r>
      <w:r w:rsidRPr="00756FAD">
        <w:rPr>
          <w:noProof/>
          <w:sz w:val="22"/>
          <w:lang w:val="en-IE"/>
        </w:rPr>
        <w:t>ebsite, meeting with the President of the Republic, 23 November 2025.</w:t>
      </w:r>
      <w:r w:rsidRPr="00756FAD">
        <w:rPr>
          <w:noProof/>
          <w:sz w:val="22"/>
        </w:rPr>
        <w:t xml:space="preserve"> </w:t>
      </w:r>
      <w:hyperlink r:id="rId37" w:history="1">
        <w:r w:rsidRPr="00756FAD">
          <w:rPr>
            <w:rStyle w:val="Hyperlink"/>
            <w:noProof/>
            <w:sz w:val="22"/>
            <w:lang w:val="fr-BE"/>
          </w:rPr>
          <w:t>Le CSM reçu à l'Elysée par le Président de la République | Conseil Supérieur de la Magistrature</w:t>
        </w:r>
      </w:hyperlink>
      <w:r w:rsidRPr="00756FAD">
        <w:rPr>
          <w:noProof/>
          <w:sz w:val="22"/>
          <w:lang w:val="fr-BE"/>
        </w:rPr>
        <w:t>.</w:t>
      </w:r>
    </w:p>
    <w:p w14:paraId="6065A4FE" w14:textId="77777777" w:rsidR="00232E3A" w:rsidRDefault="00232E3A" w:rsidP="00AD63B1">
      <w:pPr>
        <w:spacing w:after="120"/>
        <w:rPr>
          <w:noProof/>
          <w:sz w:val="22"/>
          <w:lang w:val="en-IE" w:eastAsia="en-GB"/>
        </w:rPr>
      </w:pPr>
      <w:r>
        <w:rPr>
          <w:noProof/>
          <w:sz w:val="22"/>
          <w:lang w:val="en-IE" w:eastAsia="en-GB"/>
        </w:rPr>
        <w:t xml:space="preserve">High Council for the Judiciary (2026), </w:t>
      </w:r>
      <w:r w:rsidRPr="001C75A2">
        <w:rPr>
          <w:i/>
          <w:iCs/>
          <w:noProof/>
          <w:sz w:val="22"/>
          <w:lang w:val="en-IE" w:eastAsia="en-GB"/>
        </w:rPr>
        <w:t>Annual Report 2025</w:t>
      </w:r>
      <w:r>
        <w:rPr>
          <w:noProof/>
          <w:sz w:val="22"/>
          <w:lang w:val="en-IE" w:eastAsia="en-GB"/>
        </w:rPr>
        <w:t>.</w:t>
      </w:r>
    </w:p>
    <w:p w14:paraId="367789CD" w14:textId="77777777" w:rsidR="00232E3A" w:rsidRDefault="00232E3A" w:rsidP="00AD63B1">
      <w:pPr>
        <w:spacing w:after="120"/>
        <w:rPr>
          <w:noProof/>
          <w:sz w:val="22"/>
          <w:lang w:val="en-IE" w:eastAsia="en-GB"/>
        </w:rPr>
      </w:pPr>
      <w:r w:rsidRPr="00756FAD">
        <w:rPr>
          <w:noProof/>
          <w:sz w:val="22"/>
          <w:lang w:val="en-IE" w:eastAsia="en-GB"/>
        </w:rPr>
        <w:t xml:space="preserve">Human Rights Watch, </w:t>
      </w:r>
      <w:r w:rsidRPr="00756FAD">
        <w:rPr>
          <w:i/>
          <w:iCs/>
          <w:noProof/>
          <w:sz w:val="22"/>
          <w:lang w:val="en-IE" w:eastAsia="en-GB"/>
        </w:rPr>
        <w:t>Backsliding on the Rule of Law in France (‘Recul de l’état de droit en France’)</w:t>
      </w:r>
      <w:r w:rsidRPr="00756FAD">
        <w:rPr>
          <w:noProof/>
          <w:sz w:val="22"/>
          <w:lang w:val="en-IE" w:eastAsia="en-GB"/>
        </w:rPr>
        <w:t xml:space="preserve">, 12 December 2025, </w:t>
      </w:r>
      <w:hyperlink r:id="rId38" w:history="1">
        <w:r w:rsidRPr="003D207D">
          <w:rPr>
            <w:rStyle w:val="Hyperlink"/>
            <w:noProof/>
            <w:sz w:val="22"/>
            <w:lang w:val="en-IE" w:eastAsia="en-GB"/>
          </w:rPr>
          <w:t>https://www.hrw.org/fr/news/2025/12/12/recul-de-letat-de-droit-en-france</w:t>
        </w:r>
      </w:hyperlink>
      <w:r w:rsidRPr="00756FAD">
        <w:rPr>
          <w:noProof/>
          <w:sz w:val="22"/>
          <w:lang w:val="en-IE" w:eastAsia="en-GB"/>
        </w:rPr>
        <w:t>.</w:t>
      </w:r>
    </w:p>
    <w:p w14:paraId="22EE5C09" w14:textId="77777777" w:rsidR="00232E3A" w:rsidRPr="00AA6F3F" w:rsidRDefault="00232E3A" w:rsidP="00AD63B1">
      <w:pPr>
        <w:spacing w:after="120"/>
        <w:rPr>
          <w:noProof/>
          <w:sz w:val="22"/>
          <w:lang w:val="en-IE" w:eastAsia="en-GB"/>
        </w:rPr>
      </w:pPr>
      <w:r>
        <w:rPr>
          <w:noProof/>
          <w:sz w:val="22"/>
          <w:lang w:val="en-IE" w:eastAsia="en-GB"/>
        </w:rPr>
        <w:t xml:space="preserve">International Federation for Human Rights (2025), </w:t>
      </w:r>
      <w:r>
        <w:rPr>
          <w:i/>
          <w:iCs/>
          <w:noProof/>
          <w:sz w:val="22"/>
          <w:lang w:val="en-IE" w:eastAsia="en-GB"/>
        </w:rPr>
        <w:t xml:space="preserve">France: Dropping out of Democracy, </w:t>
      </w:r>
      <w:hyperlink r:id="rId39" w:history="1">
        <w:r w:rsidRPr="00D86716">
          <w:rPr>
            <w:rStyle w:val="Hyperlink"/>
            <w:noProof/>
            <w:sz w:val="22"/>
            <w:lang w:val="en-IE" w:eastAsia="en-GB"/>
          </w:rPr>
          <w:t>https://www.fidh.org/en/region/europe-central-asia/france/public-freedoms-in-danger-alarm-over-repression-in-france</w:t>
        </w:r>
      </w:hyperlink>
      <w:r>
        <w:rPr>
          <w:noProof/>
          <w:sz w:val="22"/>
          <w:lang w:val="en-IE" w:eastAsia="en-GB"/>
        </w:rPr>
        <w:t xml:space="preserve">. </w:t>
      </w:r>
    </w:p>
    <w:p w14:paraId="2D4D8197" w14:textId="77777777" w:rsidR="00232E3A" w:rsidRDefault="00232E3A" w:rsidP="00AD63B1">
      <w:pPr>
        <w:spacing w:after="120"/>
        <w:rPr>
          <w:i/>
          <w:iCs/>
          <w:noProof/>
          <w:sz w:val="22"/>
          <w:lang w:val="en-IE" w:eastAsia="en-GB"/>
        </w:rPr>
      </w:pPr>
      <w:r>
        <w:rPr>
          <w:noProof/>
          <w:sz w:val="22"/>
          <w:lang w:val="en-IE" w:eastAsia="en-GB"/>
        </w:rPr>
        <w:t xml:space="preserve">Joint Civil Society Europe, </w:t>
      </w:r>
      <w:r w:rsidRPr="001C75A2">
        <w:rPr>
          <w:i/>
          <w:iCs/>
          <w:noProof/>
          <w:sz w:val="22"/>
          <w:lang w:val="en-IE" w:eastAsia="en-GB"/>
        </w:rPr>
        <w:t>Input on Civic Space to the 2026 Rule of Law Report.</w:t>
      </w:r>
    </w:p>
    <w:p w14:paraId="117139CD" w14:textId="77777777" w:rsidR="00232E3A" w:rsidRDefault="00232E3A" w:rsidP="00AD63B1">
      <w:pPr>
        <w:tabs>
          <w:tab w:val="left" w:pos="7100"/>
        </w:tabs>
        <w:spacing w:after="120"/>
        <w:rPr>
          <w:noProof/>
          <w:sz w:val="22"/>
          <w:lang w:val="en-IE" w:eastAsia="en-GB"/>
        </w:rPr>
      </w:pPr>
      <w:r>
        <w:rPr>
          <w:noProof/>
          <w:sz w:val="22"/>
          <w:lang w:val="en-IE" w:eastAsia="en-GB"/>
        </w:rPr>
        <w:t xml:space="preserve">Journalistic Ethics and Mediation Council (2025), </w:t>
      </w:r>
      <w:r w:rsidRPr="00595DB2">
        <w:rPr>
          <w:i/>
          <w:noProof/>
          <w:sz w:val="22"/>
          <w:lang w:val="en-IE" w:eastAsia="en-GB"/>
        </w:rPr>
        <w:t>2024 Annual Report</w:t>
      </w:r>
      <w:r>
        <w:rPr>
          <w:noProof/>
          <w:sz w:val="22"/>
          <w:lang w:val="en-IE" w:eastAsia="en-GB"/>
        </w:rPr>
        <w:t>.</w:t>
      </w:r>
      <w:r>
        <w:rPr>
          <w:noProof/>
          <w:sz w:val="22"/>
          <w:lang w:val="en-IE" w:eastAsia="en-GB"/>
        </w:rPr>
        <w:tab/>
      </w:r>
    </w:p>
    <w:p w14:paraId="3FC32CF0" w14:textId="77777777" w:rsidR="00232E3A" w:rsidRPr="008326E0" w:rsidRDefault="00232E3A" w:rsidP="00AD63B1">
      <w:pPr>
        <w:spacing w:after="120"/>
        <w:jc w:val="left"/>
        <w:rPr>
          <w:noProof/>
          <w:sz w:val="22"/>
          <w:lang w:val="en-IE" w:eastAsia="en-GB"/>
        </w:rPr>
      </w:pPr>
      <w:r>
        <w:rPr>
          <w:noProof/>
          <w:sz w:val="22"/>
          <w:lang w:val="en-IE" w:eastAsia="en-GB"/>
        </w:rPr>
        <w:t xml:space="preserve">Law No. 1058 (2023), Opening and modernising the responsibilities of the judicial body. </w:t>
      </w:r>
      <w:r w:rsidRPr="00EE6FC9">
        <w:rPr>
          <w:noProof/>
          <w:sz w:val="22"/>
          <w:lang w:val="en-IE" w:eastAsia="en-GB"/>
        </w:rPr>
        <w:t>https://www.legifrance.gouv.fr/loda/id/JORFTEXT000048430497?isSuggest=true</w:t>
      </w:r>
    </w:p>
    <w:p w14:paraId="3D9FC742" w14:textId="77777777" w:rsidR="00232E3A" w:rsidRPr="00595DB2" w:rsidRDefault="00232E3A" w:rsidP="00AD63B1">
      <w:pPr>
        <w:tabs>
          <w:tab w:val="left" w:pos="7100"/>
        </w:tabs>
        <w:spacing w:after="120"/>
        <w:rPr>
          <w:noProof/>
          <w:sz w:val="22"/>
          <w:lang w:val="en-IE" w:eastAsia="en-GB"/>
        </w:rPr>
      </w:pPr>
      <w:r>
        <w:rPr>
          <w:noProof/>
          <w:sz w:val="22"/>
          <w:lang w:val="en-IE" w:eastAsia="en-GB"/>
        </w:rPr>
        <w:t xml:space="preserve">Law No. 403 (2026), Simplifying economic life, </w:t>
      </w:r>
      <w:hyperlink r:id="rId40" w:history="1">
        <w:r w:rsidRPr="00D86716">
          <w:rPr>
            <w:rStyle w:val="Hyperlink"/>
            <w:noProof/>
            <w:sz w:val="22"/>
            <w:lang w:val="en-IE" w:eastAsia="en-GB"/>
          </w:rPr>
          <w:t>https://www.legifrance.gouv.fr/loda/id/JORFTEXT000054131304?isSuggest=true</w:t>
        </w:r>
      </w:hyperlink>
      <w:r>
        <w:rPr>
          <w:noProof/>
          <w:sz w:val="22"/>
          <w:lang w:val="en-IE" w:eastAsia="en-GB"/>
        </w:rPr>
        <w:t xml:space="preserve">. </w:t>
      </w:r>
    </w:p>
    <w:p w14:paraId="35AC012D" w14:textId="77777777" w:rsidR="00232E3A" w:rsidRPr="00595DB2" w:rsidRDefault="00232E3A" w:rsidP="00AD63B1">
      <w:pPr>
        <w:spacing w:after="120"/>
        <w:rPr>
          <w:noProof/>
          <w:sz w:val="22"/>
          <w:lang w:val="en-IE" w:eastAsia="en-GB"/>
        </w:rPr>
      </w:pPr>
      <w:r>
        <w:rPr>
          <w:noProof/>
          <w:sz w:val="22"/>
          <w:lang w:val="en-IE" w:eastAsia="en-GB"/>
        </w:rPr>
        <w:t>Law No. 531 (2025), E</w:t>
      </w:r>
      <w:r w:rsidRPr="003168C9">
        <w:rPr>
          <w:noProof/>
          <w:sz w:val="22"/>
          <w:lang w:val="en-IE" w:eastAsia="en-GB"/>
        </w:rPr>
        <w:t>stablishing the status of the public prosecutor for anti-organized crime</w:t>
      </w:r>
      <w:r>
        <w:rPr>
          <w:noProof/>
          <w:sz w:val="22"/>
          <w:lang w:val="en-IE" w:eastAsia="en-GB"/>
        </w:rPr>
        <w:t xml:space="preserve">, </w:t>
      </w:r>
      <w:r w:rsidRPr="004F6D5A">
        <w:rPr>
          <w:noProof/>
          <w:sz w:val="22"/>
          <w:lang w:val="en-IE" w:eastAsia="en-GB"/>
        </w:rPr>
        <w:t>https://www.legifrance.gouv.fr/loda/id/LEGIARTI000051736614/2026-06-04?isSuggest=true</w:t>
      </w:r>
    </w:p>
    <w:p w14:paraId="22B5D8CA" w14:textId="262AD2A4" w:rsidR="00232E3A" w:rsidRDefault="00232E3A" w:rsidP="00AD63B1">
      <w:pPr>
        <w:spacing w:after="120"/>
        <w:rPr>
          <w:noProof/>
          <w:sz w:val="22"/>
          <w:lang w:val="en-IE" w:eastAsia="en-GB"/>
        </w:rPr>
      </w:pPr>
      <w:r>
        <w:rPr>
          <w:noProof/>
          <w:sz w:val="22"/>
          <w:lang w:val="en-IE" w:eastAsia="en-GB"/>
        </w:rPr>
        <w:t>Law No. 532 (2025), E</w:t>
      </w:r>
      <w:r w:rsidRPr="00BB106D">
        <w:rPr>
          <w:noProof/>
          <w:sz w:val="22"/>
          <w:lang w:eastAsia="en-GB"/>
        </w:rPr>
        <w:t>xtricat</w:t>
      </w:r>
      <w:r>
        <w:rPr>
          <w:noProof/>
          <w:sz w:val="22"/>
          <w:lang w:eastAsia="en-GB"/>
        </w:rPr>
        <w:t>ing</w:t>
      </w:r>
      <w:r w:rsidRPr="00BB106D">
        <w:rPr>
          <w:noProof/>
          <w:sz w:val="22"/>
          <w:lang w:eastAsia="en-GB"/>
        </w:rPr>
        <w:t xml:space="preserve"> France from the trap of drug trafficking</w:t>
      </w:r>
      <w:r>
        <w:rPr>
          <w:noProof/>
          <w:sz w:val="22"/>
          <w:lang w:eastAsia="en-GB"/>
        </w:rPr>
        <w:t xml:space="preserve">, </w:t>
      </w:r>
      <w:r>
        <w:rPr>
          <w:noProof/>
          <w:sz w:val="22"/>
          <w:lang w:val="en-IE" w:eastAsia="en-GB"/>
        </w:rPr>
        <w:t xml:space="preserve"> </w:t>
      </w:r>
      <w:hyperlink r:id="rId41" w:history="1">
        <w:r w:rsidR="00E16797" w:rsidRPr="00E627BA">
          <w:rPr>
            <w:rStyle w:val="Hyperlink"/>
            <w:noProof/>
            <w:sz w:val="22"/>
            <w:lang w:val="en-IE" w:eastAsia="en-GB"/>
          </w:rPr>
          <w:t>https://www.legifrance.gouv.fr/loda/id/LEGIARTI000051736628/2026-06-04?isSuggest=true</w:t>
        </w:r>
      </w:hyperlink>
      <w:r w:rsidR="00E16797">
        <w:rPr>
          <w:noProof/>
          <w:sz w:val="22"/>
          <w:lang w:val="en-IE" w:eastAsia="en-GB"/>
        </w:rPr>
        <w:t xml:space="preserve">. </w:t>
      </w:r>
    </w:p>
    <w:p w14:paraId="354A9520" w14:textId="77777777" w:rsidR="00232E3A" w:rsidRDefault="00232E3A" w:rsidP="00AD63B1">
      <w:pPr>
        <w:spacing w:after="120"/>
        <w:jc w:val="left"/>
        <w:rPr>
          <w:noProof/>
          <w:sz w:val="22"/>
          <w:lang w:val="en-IE" w:eastAsia="en-GB"/>
        </w:rPr>
      </w:pPr>
      <w:r>
        <w:rPr>
          <w:noProof/>
          <w:sz w:val="22"/>
          <w:lang w:val="en-IE" w:eastAsia="en-GB"/>
        </w:rPr>
        <w:t xml:space="preserve">Law No. 850 (2024), Prevention of foreign interference, </w:t>
      </w:r>
      <w:hyperlink r:id="rId42" w:history="1">
        <w:r w:rsidRPr="008A4A73">
          <w:rPr>
            <w:rStyle w:val="Hyperlink"/>
            <w:noProof/>
            <w:sz w:val="22"/>
            <w:lang w:val="en-IE" w:eastAsia="en-GB"/>
          </w:rPr>
          <w:t>https://www.legifrance.gouv.fr/loda/id/LEGIARTI000050052857/2026-06-04?isSuggest=true</w:t>
        </w:r>
      </w:hyperlink>
    </w:p>
    <w:p w14:paraId="0947BB01" w14:textId="77777777" w:rsidR="00232E3A" w:rsidRDefault="00232E3A" w:rsidP="00AD63B1">
      <w:pPr>
        <w:spacing w:after="120"/>
        <w:rPr>
          <w:i/>
          <w:noProof/>
          <w:sz w:val="22"/>
        </w:rPr>
      </w:pPr>
      <w:r w:rsidRPr="00756FAD">
        <w:rPr>
          <w:noProof/>
          <w:sz w:val="22"/>
        </w:rPr>
        <w:t xml:space="preserve">Liberties (2026), </w:t>
      </w:r>
      <w:r w:rsidRPr="001C75A2">
        <w:rPr>
          <w:i/>
          <w:noProof/>
          <w:sz w:val="22"/>
        </w:rPr>
        <w:t>Rule of Law Report, France.</w:t>
      </w:r>
    </w:p>
    <w:p w14:paraId="1FDDC8B1" w14:textId="4F2807E8" w:rsidR="00232E3A" w:rsidRPr="00595DB2" w:rsidRDefault="00232E3A" w:rsidP="00AD63B1">
      <w:pPr>
        <w:spacing w:after="120"/>
        <w:rPr>
          <w:i/>
          <w:noProof/>
          <w:sz w:val="22"/>
        </w:rPr>
      </w:pPr>
      <w:r>
        <w:rPr>
          <w:iCs/>
          <w:noProof/>
          <w:sz w:val="22"/>
        </w:rPr>
        <w:t xml:space="preserve">Magistrates’ Union (Union Syndicale des Magistrats), </w:t>
      </w:r>
      <w:r>
        <w:rPr>
          <w:i/>
          <w:noProof/>
          <w:sz w:val="22"/>
        </w:rPr>
        <w:t>Communication from 16 December 2025</w:t>
      </w:r>
      <w:r>
        <w:rPr>
          <w:iCs/>
          <w:noProof/>
          <w:sz w:val="22"/>
        </w:rPr>
        <w:t xml:space="preserve">, </w:t>
      </w:r>
      <w:hyperlink r:id="rId43" w:history="1">
        <w:r w:rsidR="00E16797" w:rsidRPr="00E627BA">
          <w:rPr>
            <w:rStyle w:val="Hyperlink"/>
            <w:iCs/>
            <w:noProof/>
            <w:sz w:val="22"/>
          </w:rPr>
          <w:t>https://www.union-syndicale-magistrats.org/quand-letat-de-droit-vacille-lusm-agit/</w:t>
        </w:r>
      </w:hyperlink>
      <w:r w:rsidR="00E16797">
        <w:rPr>
          <w:iCs/>
          <w:noProof/>
          <w:sz w:val="22"/>
        </w:rPr>
        <w:t xml:space="preserve">. </w:t>
      </w:r>
    </w:p>
    <w:p w14:paraId="1A68F20A" w14:textId="05FFAA71" w:rsidR="00232E3A" w:rsidRPr="000F77E6" w:rsidRDefault="00232E3A" w:rsidP="00AD63B1">
      <w:pPr>
        <w:spacing w:after="120"/>
        <w:rPr>
          <w:i/>
          <w:noProof/>
          <w:sz w:val="22"/>
        </w:rPr>
      </w:pPr>
      <w:r>
        <w:rPr>
          <w:iCs/>
          <w:noProof/>
          <w:sz w:val="22"/>
        </w:rPr>
        <w:t xml:space="preserve">Magistrates’ Union (Union Syndicale des Magistrats), </w:t>
      </w:r>
      <w:r>
        <w:rPr>
          <w:i/>
          <w:noProof/>
          <w:sz w:val="22"/>
        </w:rPr>
        <w:t>Communication from 26 September 2025</w:t>
      </w:r>
      <w:r>
        <w:rPr>
          <w:iCs/>
          <w:noProof/>
          <w:sz w:val="22"/>
        </w:rPr>
        <w:t xml:space="preserve">, </w:t>
      </w:r>
      <w:hyperlink r:id="rId44" w:history="1">
        <w:r w:rsidR="00E16797" w:rsidRPr="00E627BA">
          <w:rPr>
            <w:rStyle w:val="Hyperlink"/>
            <w:iCs/>
            <w:noProof/>
            <w:sz w:val="22"/>
          </w:rPr>
          <w:t>https://www.union-syndicale-magistrats.org/enm-prevenir-les-derives-garantir-la-transparence/</w:t>
        </w:r>
      </w:hyperlink>
      <w:r w:rsidR="00E16797">
        <w:rPr>
          <w:iCs/>
          <w:noProof/>
          <w:sz w:val="22"/>
        </w:rPr>
        <w:t xml:space="preserve">. </w:t>
      </w:r>
    </w:p>
    <w:p w14:paraId="471A24E7" w14:textId="77777777" w:rsidR="00232E3A" w:rsidRPr="00CA7B94" w:rsidRDefault="00232E3A" w:rsidP="00AD63B1">
      <w:pPr>
        <w:spacing w:after="120"/>
        <w:rPr>
          <w:i/>
          <w:noProof/>
          <w:sz w:val="22"/>
          <w:lang w:val="en-IE"/>
        </w:rPr>
      </w:pPr>
      <w:r w:rsidRPr="00CA7B94">
        <w:rPr>
          <w:iCs/>
          <w:noProof/>
          <w:sz w:val="22"/>
          <w:lang w:val="en-IE"/>
        </w:rPr>
        <w:t xml:space="preserve">Magistrats pour la Démocratie et les Libertés (MEDEL) (2026), </w:t>
      </w:r>
      <w:r w:rsidRPr="00CA7B94">
        <w:rPr>
          <w:i/>
          <w:noProof/>
          <w:sz w:val="22"/>
          <w:lang w:val="en-IE"/>
        </w:rPr>
        <w:t>Input from MEDEL to the 2026 Rule of Law Report.</w:t>
      </w:r>
    </w:p>
    <w:p w14:paraId="51067F65" w14:textId="77777777" w:rsidR="00232E3A" w:rsidRDefault="00232E3A" w:rsidP="00AD63B1">
      <w:pPr>
        <w:spacing w:after="120"/>
        <w:rPr>
          <w:noProof/>
          <w:sz w:val="22"/>
        </w:rPr>
      </w:pPr>
      <w:r>
        <w:rPr>
          <w:noProof/>
          <w:sz w:val="22"/>
        </w:rPr>
        <w:t xml:space="preserve">Media Pluralism Report (2026), </w:t>
      </w:r>
      <w:r w:rsidRPr="001C75A2">
        <w:rPr>
          <w:noProof/>
          <w:sz w:val="22"/>
        </w:rPr>
        <w:t>country report for France</w:t>
      </w:r>
      <w:r w:rsidRPr="009B0F72">
        <w:rPr>
          <w:noProof/>
          <w:sz w:val="22"/>
        </w:rPr>
        <w:t>,</w:t>
      </w:r>
      <w:r>
        <w:rPr>
          <w:noProof/>
          <w:sz w:val="22"/>
        </w:rPr>
        <w:t xml:space="preserve"> </w:t>
      </w:r>
      <w:r w:rsidRPr="001D7FD1">
        <w:rPr>
          <w:noProof/>
          <w:sz w:val="22"/>
        </w:rPr>
        <w:t>published by the independent Centre for Media Pluralism and Media Freedom (CMPF)</w:t>
      </w:r>
      <w:r>
        <w:rPr>
          <w:noProof/>
          <w:sz w:val="22"/>
        </w:rPr>
        <w:t>.</w:t>
      </w:r>
    </w:p>
    <w:p w14:paraId="0152187E" w14:textId="3C3A67C0" w:rsidR="00232E3A" w:rsidRDefault="00232E3A" w:rsidP="00AD63B1">
      <w:pPr>
        <w:spacing w:after="120"/>
        <w:jc w:val="left"/>
        <w:rPr>
          <w:noProof/>
          <w:sz w:val="22"/>
        </w:rPr>
      </w:pPr>
      <w:r>
        <w:rPr>
          <w:noProof/>
          <w:sz w:val="22"/>
        </w:rPr>
        <w:t xml:space="preserve">National Assembly (2026), </w:t>
      </w:r>
      <w:r>
        <w:rPr>
          <w:i/>
          <w:iCs/>
          <w:noProof/>
          <w:sz w:val="22"/>
        </w:rPr>
        <w:t xml:space="preserve">Report by the Committee to examine the neutrality, functioning and financing of public service media. </w:t>
      </w:r>
      <w:r>
        <w:rPr>
          <w:noProof/>
          <w:sz w:val="22"/>
        </w:rPr>
        <w:t xml:space="preserve">National Assembly (2025), </w:t>
      </w:r>
      <w:r>
        <w:rPr>
          <w:i/>
          <w:iCs/>
          <w:noProof/>
          <w:sz w:val="22"/>
        </w:rPr>
        <w:t>Statistics on Parliamentary Activity,</w:t>
      </w:r>
      <w:r w:rsidRPr="00595DB2">
        <w:rPr>
          <w:noProof/>
          <w:sz w:val="22"/>
        </w:rPr>
        <w:t xml:space="preserve"> </w:t>
      </w:r>
      <w:hyperlink r:id="rId45" w:history="1">
        <w:r w:rsidRPr="00595DB2">
          <w:rPr>
            <w:rStyle w:val="Hyperlink"/>
            <w:noProof/>
          </w:rPr>
          <w:t>https://www2.assemblee-nationale.fr/17/statistiques-de-l-activite-parlementaire</w:t>
        </w:r>
      </w:hyperlink>
      <w:r w:rsidR="00E16797">
        <w:rPr>
          <w:noProof/>
        </w:rPr>
        <w:t>.</w:t>
      </w:r>
    </w:p>
    <w:p w14:paraId="4582423C" w14:textId="30FC3096" w:rsidR="00232E3A" w:rsidRPr="006162DD" w:rsidRDefault="00232E3A" w:rsidP="00AD63B1">
      <w:pPr>
        <w:spacing w:after="120"/>
        <w:jc w:val="left"/>
        <w:rPr>
          <w:noProof/>
          <w:sz w:val="22"/>
        </w:rPr>
      </w:pPr>
      <w:r>
        <w:rPr>
          <w:noProof/>
          <w:sz w:val="22"/>
        </w:rPr>
        <w:t xml:space="preserve">National Consultative Commission on Human Rights (2025), </w:t>
      </w:r>
      <w:r w:rsidRPr="00595DB2">
        <w:rPr>
          <w:i/>
          <w:noProof/>
          <w:sz w:val="22"/>
        </w:rPr>
        <w:t>Opinion on the restriction of civic space: a major issue for democracy and human rights</w:t>
      </w:r>
      <w:r>
        <w:rPr>
          <w:i/>
          <w:iCs/>
          <w:noProof/>
          <w:sz w:val="22"/>
        </w:rPr>
        <w:t xml:space="preserve">, </w:t>
      </w:r>
      <w:hyperlink r:id="rId46" w:history="1">
        <w:r w:rsidR="00E16797" w:rsidRPr="00E627BA">
          <w:rPr>
            <w:rStyle w:val="Hyperlink"/>
            <w:noProof/>
            <w:sz w:val="22"/>
          </w:rPr>
          <w:t>https://www.cncdh.fr/publications/avis-sur-la-restriction-de-lespace-civique-un-enjeu-majeur-pour-la-democratie-et-les</w:t>
        </w:r>
      </w:hyperlink>
      <w:r w:rsidR="00E16797">
        <w:rPr>
          <w:noProof/>
          <w:sz w:val="22"/>
        </w:rPr>
        <w:t>.</w:t>
      </w:r>
    </w:p>
    <w:p w14:paraId="3133D4EF" w14:textId="77777777" w:rsidR="00232E3A" w:rsidRDefault="00232E3A" w:rsidP="00AD63B1">
      <w:pPr>
        <w:spacing w:after="120"/>
        <w:rPr>
          <w:i/>
          <w:iCs/>
          <w:noProof/>
          <w:sz w:val="22"/>
        </w:rPr>
      </w:pPr>
      <w:r w:rsidRPr="00641E5E">
        <w:rPr>
          <w:noProof/>
          <w:sz w:val="22"/>
        </w:rPr>
        <w:t>National Council of Bars (2026),</w:t>
      </w:r>
      <w:r>
        <w:rPr>
          <w:i/>
          <w:iCs/>
          <w:noProof/>
          <w:sz w:val="22"/>
        </w:rPr>
        <w:t xml:space="preserve"> Input from the National Council of Bars to the 2026 Rule of Law Report.</w:t>
      </w:r>
    </w:p>
    <w:p w14:paraId="2C7CB1A9" w14:textId="77777777" w:rsidR="00232E3A" w:rsidRDefault="00232E3A" w:rsidP="00AD63B1">
      <w:pPr>
        <w:spacing w:after="120"/>
        <w:rPr>
          <w:i/>
          <w:iCs/>
          <w:noProof/>
          <w:sz w:val="22"/>
        </w:rPr>
      </w:pPr>
      <w:r>
        <w:rPr>
          <w:noProof/>
          <w:sz w:val="22"/>
        </w:rPr>
        <w:t xml:space="preserve">National Council of Bars (2026), </w:t>
      </w:r>
      <w:r w:rsidRPr="001C75A2">
        <w:rPr>
          <w:i/>
          <w:iCs/>
          <w:noProof/>
          <w:sz w:val="22"/>
        </w:rPr>
        <w:t>Resolution on the draft law on criminal justice, 7 April 2026.</w:t>
      </w:r>
    </w:p>
    <w:p w14:paraId="46B87C42" w14:textId="77777777" w:rsidR="00232E3A" w:rsidRPr="001C75A2" w:rsidRDefault="00232E3A" w:rsidP="00AD63B1">
      <w:pPr>
        <w:spacing w:after="120"/>
        <w:rPr>
          <w:i/>
          <w:noProof/>
          <w:sz w:val="22"/>
          <w:lang w:val="en-IE" w:eastAsia="en-GB"/>
        </w:rPr>
      </w:pPr>
      <w:r w:rsidRPr="00756FAD">
        <w:rPr>
          <w:noProof/>
          <w:sz w:val="22"/>
          <w:lang w:val="en-IE" w:eastAsia="en-GB"/>
        </w:rPr>
        <w:t>Observatory of associative freedoms (2026</w:t>
      </w:r>
      <w:r>
        <w:rPr>
          <w:noProof/>
          <w:sz w:val="22"/>
          <w:lang w:val="en-IE" w:eastAsia="en-GB"/>
        </w:rPr>
        <w:t>a</w:t>
      </w:r>
      <w:r w:rsidRPr="00756FAD">
        <w:rPr>
          <w:noProof/>
          <w:sz w:val="22"/>
          <w:lang w:val="en-IE" w:eastAsia="en-GB"/>
        </w:rPr>
        <w:t xml:space="preserve">), </w:t>
      </w:r>
      <w:r w:rsidRPr="001C75A2">
        <w:rPr>
          <w:i/>
          <w:noProof/>
          <w:sz w:val="22"/>
          <w:lang w:val="en-IE" w:eastAsia="en-GB"/>
        </w:rPr>
        <w:t>Barriers to freedom of association.</w:t>
      </w:r>
    </w:p>
    <w:p w14:paraId="2E83BDFA" w14:textId="77777777" w:rsidR="00232E3A" w:rsidRPr="001C75A2" w:rsidRDefault="00232E3A" w:rsidP="00AD63B1">
      <w:pPr>
        <w:spacing w:after="120"/>
        <w:rPr>
          <w:i/>
          <w:noProof/>
          <w:sz w:val="22"/>
          <w:lang w:val="en-IE" w:eastAsia="en-GB"/>
        </w:rPr>
      </w:pPr>
      <w:r w:rsidRPr="00756FAD">
        <w:rPr>
          <w:noProof/>
          <w:sz w:val="22"/>
          <w:lang w:val="en-IE" w:eastAsia="en-GB"/>
        </w:rPr>
        <w:t>Observatory of associative freedoms (2026</w:t>
      </w:r>
      <w:r>
        <w:rPr>
          <w:noProof/>
          <w:sz w:val="22"/>
          <w:lang w:val="en-IE" w:eastAsia="en-GB"/>
        </w:rPr>
        <w:t>b</w:t>
      </w:r>
      <w:r w:rsidRPr="00756FAD">
        <w:rPr>
          <w:noProof/>
          <w:sz w:val="22"/>
          <w:lang w:val="en-IE" w:eastAsia="en-GB"/>
        </w:rPr>
        <w:t xml:space="preserve">), </w:t>
      </w:r>
      <w:r w:rsidRPr="001C75A2">
        <w:rPr>
          <w:i/>
          <w:noProof/>
          <w:sz w:val="22"/>
          <w:lang w:val="en-IE" w:eastAsia="en-GB"/>
        </w:rPr>
        <w:t>Neutralizing the associative world - Investigation into an injunction to depoliticization.</w:t>
      </w:r>
    </w:p>
    <w:p w14:paraId="0F1BFD09" w14:textId="77777777" w:rsidR="00232E3A" w:rsidRPr="003C5AAF" w:rsidRDefault="00232E3A" w:rsidP="00AD63B1">
      <w:pPr>
        <w:spacing w:after="120"/>
        <w:rPr>
          <w:noProof/>
          <w:sz w:val="20"/>
          <w:lang w:val="en-IE" w:eastAsia="en-GB"/>
        </w:rPr>
      </w:pPr>
      <w:r w:rsidRPr="003C5AAF">
        <w:rPr>
          <w:noProof/>
          <w:sz w:val="22"/>
        </w:rPr>
        <w:t xml:space="preserve">OECD (2025), </w:t>
      </w:r>
      <w:r w:rsidRPr="003C5AAF">
        <w:rPr>
          <w:i/>
          <w:iCs/>
          <w:noProof/>
          <w:sz w:val="22"/>
        </w:rPr>
        <w:t>Better Regulation Practices across the European Union 2025.</w:t>
      </w:r>
    </w:p>
    <w:p w14:paraId="3FC6F43F" w14:textId="77777777" w:rsidR="00232E3A" w:rsidRPr="00756FAD" w:rsidRDefault="00232E3A" w:rsidP="00AD63B1">
      <w:pPr>
        <w:spacing w:after="120"/>
        <w:rPr>
          <w:i/>
          <w:iCs/>
          <w:noProof/>
          <w:sz w:val="22"/>
          <w:lang w:val="en-IE" w:eastAsia="en-GB"/>
        </w:rPr>
      </w:pPr>
      <w:r w:rsidRPr="00756FAD">
        <w:rPr>
          <w:noProof/>
          <w:sz w:val="22"/>
          <w:lang w:val="en-IE" w:eastAsia="en-GB"/>
        </w:rPr>
        <w:t xml:space="preserve">Office of the High Commissioner on Human Rights </w:t>
      </w:r>
      <w:r w:rsidRPr="00756FAD">
        <w:rPr>
          <w:noProof/>
          <w:sz w:val="22"/>
        </w:rPr>
        <w:t xml:space="preserve">(2026), </w:t>
      </w:r>
      <w:r w:rsidRPr="00756FAD">
        <w:rPr>
          <w:i/>
          <w:iCs/>
          <w:noProof/>
          <w:sz w:val="22"/>
        </w:rPr>
        <w:t>Report on France</w:t>
      </w:r>
      <w:r w:rsidRPr="00756FAD">
        <w:rPr>
          <w:i/>
          <w:iCs/>
          <w:noProof/>
          <w:sz w:val="22"/>
          <w:lang w:val="en-IE"/>
        </w:rPr>
        <w:t>: UN experts alarmed by farmers’ arrests and growing criminalisation of peasant movements.</w:t>
      </w:r>
    </w:p>
    <w:p w14:paraId="48A05E49" w14:textId="77777777" w:rsidR="00D70173" w:rsidRPr="00FF276F" w:rsidRDefault="00D70173" w:rsidP="00D70173">
      <w:pPr>
        <w:spacing w:after="120"/>
        <w:rPr>
          <w:noProof/>
          <w:lang w:val="en-IE"/>
        </w:rPr>
      </w:pPr>
      <w:r w:rsidRPr="00FF276F">
        <w:rPr>
          <w:noProof/>
          <w:sz w:val="22"/>
          <w:lang w:val="en-IE" w:eastAsia="en-GB"/>
        </w:rPr>
        <w:t xml:space="preserve">Parliament (2026), </w:t>
      </w:r>
      <w:r w:rsidRPr="00FF276F">
        <w:rPr>
          <w:i/>
          <w:noProof/>
          <w:sz w:val="22"/>
          <w:lang w:val="en-IE" w:eastAsia="en-GB"/>
        </w:rPr>
        <w:t>R</w:t>
      </w:r>
      <w:r w:rsidRPr="00FF276F">
        <w:rPr>
          <w:i/>
          <w:noProof/>
          <w:sz w:val="22"/>
          <w:lang w:val="en-IE"/>
        </w:rPr>
        <w:t>eport submitted on behalf of the Committee of Inquiry on the neutrality, functioning and financing of public audiovisual broadcasting</w:t>
      </w:r>
      <w:r w:rsidRPr="00FF276F">
        <w:rPr>
          <w:noProof/>
          <w:sz w:val="22"/>
          <w:lang w:val="en-IE"/>
        </w:rPr>
        <w:t xml:space="preserve"> (</w:t>
      </w:r>
      <w:r w:rsidRPr="00FF276F">
        <w:rPr>
          <w:i/>
          <w:noProof/>
          <w:sz w:val="22"/>
          <w:lang w:val="en-IE" w:eastAsia="en-GB"/>
        </w:rPr>
        <w:t xml:space="preserve">Rapport fait au nom de la commission d’enquête sur la neutralité, le fonctionnement et le financement de l’audiovisuel public), </w:t>
      </w:r>
      <w:r w:rsidRPr="00FF276F">
        <w:rPr>
          <w:noProof/>
          <w:sz w:val="22"/>
          <w:lang w:val="en-IE" w:eastAsia="en-GB"/>
        </w:rPr>
        <w:t xml:space="preserve">available at: </w:t>
      </w:r>
      <w:hyperlink r:id="rId47" w:tgtFrame="_new" w:history="1">
        <w:r w:rsidRPr="00FF276F">
          <w:rPr>
            <w:rStyle w:val="Hyperlink"/>
            <w:noProof/>
            <w:sz w:val="22"/>
            <w:lang w:val="en-IE" w:eastAsia="en-GB"/>
          </w:rPr>
          <w:t>https://www.assemblee-nationale.fr/dyn/17/rapports/ceaudio/l17b2698-t1_rapport-enquete</w:t>
        </w:r>
      </w:hyperlink>
    </w:p>
    <w:p w14:paraId="4E94F4A5" w14:textId="08665D13" w:rsidR="00232E3A" w:rsidRDefault="00232E3A" w:rsidP="00AD63B1">
      <w:pPr>
        <w:spacing w:after="120"/>
        <w:rPr>
          <w:noProof/>
          <w:sz w:val="22"/>
          <w:lang w:val="fr-BE"/>
        </w:rPr>
      </w:pPr>
      <w:r w:rsidRPr="001C75A2">
        <w:rPr>
          <w:noProof/>
          <w:sz w:val="22"/>
          <w:lang w:val="fr-BE"/>
        </w:rPr>
        <w:t xml:space="preserve">Parliament (2025), Evaluation of the Law on the respect of Republican principles </w:t>
      </w:r>
      <w:r w:rsidRPr="001C75A2">
        <w:rPr>
          <w:i/>
          <w:noProof/>
          <w:sz w:val="22"/>
          <w:lang w:val="fr-BE"/>
        </w:rPr>
        <w:t>(</w:t>
      </w:r>
      <w:r>
        <w:rPr>
          <w:i/>
          <w:iCs/>
          <w:noProof/>
          <w:sz w:val="22"/>
          <w:lang w:val="fr-BE"/>
        </w:rPr>
        <w:t>E</w:t>
      </w:r>
      <w:r w:rsidRPr="001C75A2">
        <w:rPr>
          <w:i/>
          <w:iCs/>
          <w:noProof/>
          <w:sz w:val="22"/>
          <w:lang w:val="fr-BE"/>
        </w:rPr>
        <w:t>valuation</w:t>
      </w:r>
      <w:r w:rsidRPr="001C75A2">
        <w:rPr>
          <w:i/>
          <w:noProof/>
          <w:sz w:val="22"/>
          <w:lang w:val="fr-BE"/>
        </w:rPr>
        <w:t xml:space="preserve"> de la loi confortant </w:t>
      </w:r>
      <w:r w:rsidRPr="001C75A2">
        <w:rPr>
          <w:i/>
          <w:iCs/>
          <w:noProof/>
          <w:sz w:val="22"/>
          <w:lang w:val="fr-BE"/>
        </w:rPr>
        <w:t>le respect des</w:t>
      </w:r>
      <w:r w:rsidRPr="001C75A2">
        <w:rPr>
          <w:i/>
          <w:noProof/>
          <w:sz w:val="22"/>
          <w:lang w:val="fr-BE"/>
        </w:rPr>
        <w:t xml:space="preserve"> principes </w:t>
      </w:r>
      <w:r w:rsidRPr="001C75A2">
        <w:rPr>
          <w:i/>
          <w:iCs/>
          <w:noProof/>
          <w:sz w:val="22"/>
          <w:lang w:val="fr-BE"/>
        </w:rPr>
        <w:t>de la République</w:t>
      </w:r>
      <w:r>
        <w:rPr>
          <w:i/>
          <w:iCs/>
          <w:noProof/>
          <w:sz w:val="22"/>
          <w:lang w:val="fr-BE"/>
        </w:rPr>
        <w:t>)</w:t>
      </w:r>
      <w:r w:rsidR="003837E9">
        <w:rPr>
          <w:i/>
          <w:iCs/>
          <w:noProof/>
          <w:sz w:val="22"/>
          <w:lang w:val="fr-BE"/>
        </w:rPr>
        <w:t xml:space="preserve">, </w:t>
      </w:r>
      <w:hyperlink r:id="rId48" w:history="1">
        <w:r w:rsidR="003502C7" w:rsidRPr="003502C7">
          <w:rPr>
            <w:rStyle w:val="Hyperlink"/>
            <w:noProof/>
            <w:sz w:val="22"/>
            <w:lang w:val="fr-BE"/>
          </w:rPr>
          <w:t>https://www.assemblee-nationale.fr/dyn/17/documents/cion_lois/l17n870210094_document.pdf</w:t>
        </w:r>
      </w:hyperlink>
      <w:r w:rsidR="003502C7" w:rsidRPr="003502C7">
        <w:rPr>
          <w:noProof/>
          <w:sz w:val="22"/>
          <w:lang w:val="fr-BE"/>
        </w:rPr>
        <w:t>.</w:t>
      </w:r>
      <w:r w:rsidR="003502C7">
        <w:rPr>
          <w:i/>
          <w:iCs/>
          <w:noProof/>
          <w:sz w:val="22"/>
          <w:lang w:val="fr-BE"/>
        </w:rPr>
        <w:t xml:space="preserve"> </w:t>
      </w:r>
    </w:p>
    <w:p w14:paraId="4383FC46" w14:textId="77777777" w:rsidR="00232E3A" w:rsidRDefault="00232E3A" w:rsidP="00AD63B1">
      <w:pPr>
        <w:spacing w:after="120"/>
        <w:rPr>
          <w:noProof/>
          <w:sz w:val="22"/>
        </w:rPr>
      </w:pPr>
      <w:r>
        <w:rPr>
          <w:noProof/>
          <w:sz w:val="22"/>
        </w:rPr>
        <w:t xml:space="preserve">Presidency of the Republic (2025), </w:t>
      </w:r>
      <w:r w:rsidRPr="001C75A2">
        <w:rPr>
          <w:i/>
          <w:iCs/>
          <w:noProof/>
          <w:sz w:val="22"/>
        </w:rPr>
        <w:t>Ethics Guide</w:t>
      </w:r>
      <w:r>
        <w:rPr>
          <w:noProof/>
          <w:sz w:val="22"/>
        </w:rPr>
        <w:t xml:space="preserve"> available at </w:t>
      </w:r>
      <w:hyperlink r:id="rId49" w:history="1">
        <w:r w:rsidRPr="00F35EF3">
          <w:rPr>
            <w:rStyle w:val="Hyperlink"/>
            <w:noProof/>
            <w:sz w:val="22"/>
          </w:rPr>
          <w:t>https://www.elysee.fr/admin/upload/default/0001/19/b7c19bfb2f5d5acd875534a0042f33732a2dac01.pdf</w:t>
        </w:r>
      </w:hyperlink>
      <w:r>
        <w:rPr>
          <w:noProof/>
          <w:sz w:val="22"/>
        </w:rPr>
        <w:t xml:space="preserve"> .</w:t>
      </w:r>
    </w:p>
    <w:p w14:paraId="3971F541" w14:textId="77777777" w:rsidR="00232E3A" w:rsidRPr="00756FAD" w:rsidRDefault="00232E3A" w:rsidP="001A66AF">
      <w:pPr>
        <w:spacing w:after="120"/>
        <w:rPr>
          <w:noProof/>
          <w:sz w:val="22"/>
          <w:lang w:val="en-IE" w:eastAsia="en-GB"/>
        </w:rPr>
      </w:pPr>
      <w:r>
        <w:rPr>
          <w:noProof/>
          <w:sz w:val="22"/>
        </w:rPr>
        <w:t xml:space="preserve">Regulation (EU) 1689 (2024), </w:t>
      </w:r>
      <w:r w:rsidRPr="00595DB2">
        <w:rPr>
          <w:i/>
          <w:noProof/>
          <w:sz w:val="22"/>
        </w:rPr>
        <w:t>Laying down harmonised rules on artificial intelligence</w:t>
      </w:r>
      <w:r>
        <w:rPr>
          <w:noProof/>
          <w:sz w:val="22"/>
        </w:rPr>
        <w:t xml:space="preserve">, </w:t>
      </w:r>
      <w:r w:rsidRPr="00407D16">
        <w:rPr>
          <w:noProof/>
          <w:sz w:val="22"/>
        </w:rPr>
        <w:t>https://eur-lex.europa.eu/eli/reg/2024/1689/oj/eng</w:t>
      </w:r>
    </w:p>
    <w:p w14:paraId="63DA80B3" w14:textId="77777777" w:rsidR="00232E3A" w:rsidRPr="001C75A2" w:rsidRDefault="00232E3A" w:rsidP="001A66AF">
      <w:pPr>
        <w:spacing w:after="120"/>
        <w:rPr>
          <w:i/>
          <w:iCs/>
          <w:noProof/>
          <w:sz w:val="22"/>
          <w:lang w:eastAsia="en-GB"/>
        </w:rPr>
      </w:pPr>
      <w:r>
        <w:rPr>
          <w:noProof/>
          <w:sz w:val="22"/>
          <w:lang w:eastAsia="en-GB"/>
        </w:rPr>
        <w:t xml:space="preserve">Reporters Without Borders (2026), </w:t>
      </w:r>
      <w:r w:rsidRPr="001C75A2">
        <w:rPr>
          <w:i/>
          <w:iCs/>
          <w:noProof/>
          <w:sz w:val="22"/>
          <w:lang w:eastAsia="en-GB"/>
        </w:rPr>
        <w:t>Input from RSF to the 2026 Rule of Law Report.</w:t>
      </w:r>
    </w:p>
    <w:p w14:paraId="508834CF" w14:textId="53BCE140" w:rsidR="00232E3A" w:rsidRDefault="00232E3A" w:rsidP="001A66AF">
      <w:pPr>
        <w:pStyle w:val="FootnoteText"/>
        <w:spacing w:after="120"/>
        <w:rPr>
          <w:noProof/>
          <w:sz w:val="22"/>
          <w:szCs w:val="22"/>
          <w:lang w:val="en-IE"/>
        </w:rPr>
      </w:pPr>
      <w:r w:rsidRPr="00756FAD">
        <w:rPr>
          <w:noProof/>
          <w:sz w:val="22"/>
          <w:szCs w:val="22"/>
          <w:lang w:val="en-IE" w:eastAsia="en-GB"/>
        </w:rPr>
        <w:t>Reporter</w:t>
      </w:r>
      <w:r>
        <w:rPr>
          <w:noProof/>
          <w:sz w:val="22"/>
          <w:szCs w:val="22"/>
          <w:lang w:val="en-IE" w:eastAsia="en-GB"/>
        </w:rPr>
        <w:t>s</w:t>
      </w:r>
      <w:r w:rsidRPr="00756FAD">
        <w:rPr>
          <w:noProof/>
          <w:sz w:val="22"/>
          <w:szCs w:val="22"/>
          <w:lang w:val="en-IE" w:eastAsia="en-GB"/>
        </w:rPr>
        <w:t xml:space="preserve"> </w:t>
      </w:r>
      <w:r>
        <w:rPr>
          <w:noProof/>
          <w:sz w:val="22"/>
          <w:szCs w:val="22"/>
          <w:lang w:val="en-IE" w:eastAsia="en-GB"/>
        </w:rPr>
        <w:t>Without Borders</w:t>
      </w:r>
      <w:r w:rsidRPr="00756FAD">
        <w:rPr>
          <w:noProof/>
          <w:sz w:val="22"/>
          <w:szCs w:val="22"/>
          <w:lang w:val="en-IE" w:eastAsia="en-GB"/>
        </w:rPr>
        <w:t xml:space="preserve"> (</w:t>
      </w:r>
      <w:r w:rsidR="00D70173">
        <w:rPr>
          <w:noProof/>
          <w:sz w:val="22"/>
          <w:szCs w:val="22"/>
          <w:lang w:val="en-IE" w:eastAsia="en-GB"/>
        </w:rPr>
        <w:t>2026</w:t>
      </w:r>
      <w:r w:rsidRPr="00756FAD">
        <w:rPr>
          <w:noProof/>
          <w:sz w:val="22"/>
          <w:szCs w:val="22"/>
          <w:lang w:val="en-IE" w:eastAsia="en-GB"/>
        </w:rPr>
        <w:t xml:space="preserve">) </w:t>
      </w:r>
      <w:r w:rsidRPr="00756FAD">
        <w:rPr>
          <w:i/>
          <w:iCs/>
          <w:noProof/>
          <w:sz w:val="22"/>
          <w:szCs w:val="22"/>
          <w:lang w:val="en-IE"/>
        </w:rPr>
        <w:t>France, Local information in first line</w:t>
      </w:r>
      <w:r w:rsidRPr="00756FAD">
        <w:rPr>
          <w:noProof/>
          <w:sz w:val="22"/>
          <w:szCs w:val="22"/>
          <w:lang w:val="en-IE"/>
        </w:rPr>
        <w:t>, March 2026.</w:t>
      </w:r>
    </w:p>
    <w:p w14:paraId="145EC49D" w14:textId="56B03D7E" w:rsidR="00232E3A" w:rsidRDefault="00232E3A" w:rsidP="001A66AF">
      <w:pPr>
        <w:spacing w:after="120"/>
        <w:rPr>
          <w:noProof/>
          <w:sz w:val="22"/>
          <w:lang w:eastAsia="en-GB"/>
        </w:rPr>
      </w:pPr>
      <w:r w:rsidRPr="00756FAD">
        <w:rPr>
          <w:noProof/>
          <w:sz w:val="22"/>
          <w:lang w:val="en-IE" w:eastAsia="en-GB"/>
        </w:rPr>
        <w:t>Reporter</w:t>
      </w:r>
      <w:r>
        <w:rPr>
          <w:noProof/>
          <w:sz w:val="22"/>
          <w:lang w:val="en-IE" w:eastAsia="en-GB"/>
        </w:rPr>
        <w:t>s</w:t>
      </w:r>
      <w:r w:rsidRPr="00756FAD">
        <w:rPr>
          <w:noProof/>
          <w:sz w:val="22"/>
          <w:lang w:val="en-IE" w:eastAsia="en-GB"/>
        </w:rPr>
        <w:t xml:space="preserve"> </w:t>
      </w:r>
      <w:r>
        <w:rPr>
          <w:noProof/>
          <w:sz w:val="22"/>
          <w:lang w:val="en-IE" w:eastAsia="en-GB"/>
        </w:rPr>
        <w:t>without Borders</w:t>
      </w:r>
      <w:r w:rsidRPr="00756FAD">
        <w:rPr>
          <w:noProof/>
          <w:sz w:val="22"/>
          <w:lang w:val="en-IE" w:eastAsia="en-GB"/>
        </w:rPr>
        <w:t xml:space="preserve"> (</w:t>
      </w:r>
      <w:r w:rsidR="00D70173">
        <w:rPr>
          <w:noProof/>
          <w:sz w:val="22"/>
          <w:lang w:val="en-IE" w:eastAsia="en-GB"/>
        </w:rPr>
        <w:t>2025</w:t>
      </w:r>
      <w:r w:rsidRPr="00756FAD">
        <w:rPr>
          <w:noProof/>
          <w:sz w:val="22"/>
          <w:lang w:val="en-IE" w:eastAsia="en-GB"/>
        </w:rPr>
        <w:t xml:space="preserve">), </w:t>
      </w:r>
      <w:r w:rsidRPr="00756FAD">
        <w:rPr>
          <w:i/>
          <w:iCs/>
          <w:noProof/>
          <w:sz w:val="22"/>
          <w:lang w:eastAsia="en-GB"/>
        </w:rPr>
        <w:t>Lack of pluralism on the French channel CNews: RSF refers the matter to Arcom</w:t>
      </w:r>
      <w:r w:rsidRPr="00756FAD">
        <w:rPr>
          <w:noProof/>
          <w:sz w:val="22"/>
          <w:lang w:eastAsia="en-GB"/>
        </w:rPr>
        <w:t>, January 15, 2025, RSF website.</w:t>
      </w:r>
    </w:p>
    <w:p w14:paraId="12A98598" w14:textId="77777777" w:rsidR="00232E3A" w:rsidRDefault="00232E3A" w:rsidP="001A66AF">
      <w:pPr>
        <w:spacing w:after="120"/>
        <w:rPr>
          <w:noProof/>
          <w:sz w:val="22"/>
        </w:rPr>
      </w:pPr>
      <w:r w:rsidRPr="001C75A2">
        <w:rPr>
          <w:noProof/>
          <w:sz w:val="22"/>
        </w:rPr>
        <w:t xml:space="preserve">Senate, </w:t>
      </w:r>
      <w:hyperlink r:id="rId50" w:history="1">
        <w:r w:rsidRPr="001C75A2">
          <w:rPr>
            <w:rStyle w:val="Hyperlink"/>
            <w:i/>
            <w:iCs/>
            <w:noProof/>
            <w:sz w:val="22"/>
          </w:rPr>
          <w:t>Ethics Guide</w:t>
        </w:r>
      </w:hyperlink>
      <w:r>
        <w:rPr>
          <w:i/>
          <w:iCs/>
          <w:noProof/>
          <w:sz w:val="22"/>
        </w:rPr>
        <w:t>,</w:t>
      </w:r>
      <w:r w:rsidRPr="001C75A2">
        <w:rPr>
          <w:noProof/>
          <w:sz w:val="22"/>
        </w:rPr>
        <w:t xml:space="preserve"> published on</w:t>
      </w:r>
      <w:r w:rsidRPr="00713A92">
        <w:rPr>
          <w:noProof/>
          <w:sz w:val="22"/>
        </w:rPr>
        <w:t xml:space="preserve"> 25 November 2025</w:t>
      </w:r>
      <w:r>
        <w:rPr>
          <w:noProof/>
          <w:sz w:val="22"/>
        </w:rPr>
        <w:t>.</w:t>
      </w:r>
    </w:p>
    <w:p w14:paraId="0C76C16F" w14:textId="77777777" w:rsidR="00232E3A" w:rsidRPr="00595DB2" w:rsidRDefault="00232E3A" w:rsidP="001A66AF">
      <w:pPr>
        <w:spacing w:after="120"/>
        <w:rPr>
          <w:i/>
          <w:noProof/>
          <w:sz w:val="22"/>
        </w:rPr>
      </w:pPr>
      <w:r>
        <w:rPr>
          <w:noProof/>
          <w:sz w:val="22"/>
        </w:rPr>
        <w:t xml:space="preserve">SNJ (2026), </w:t>
      </w:r>
      <w:r>
        <w:rPr>
          <w:i/>
          <w:iCs/>
          <w:noProof/>
          <w:sz w:val="22"/>
        </w:rPr>
        <w:t xml:space="preserve">Input from SNJ for the 2026 Rule of Law Report. </w:t>
      </w:r>
    </w:p>
    <w:p w14:paraId="42E76F0E" w14:textId="77777777" w:rsidR="00232E3A" w:rsidRPr="00792295" w:rsidRDefault="00232E3A" w:rsidP="001A66AF">
      <w:pPr>
        <w:spacing w:after="120"/>
        <w:rPr>
          <w:noProof/>
          <w:sz w:val="22"/>
          <w:lang w:val="fr-BE"/>
        </w:rPr>
      </w:pPr>
      <w:r w:rsidRPr="00792295">
        <w:rPr>
          <w:noProof/>
          <w:sz w:val="22"/>
          <w:lang w:val="fr-BE"/>
        </w:rPr>
        <w:t xml:space="preserve">SNJ, </w:t>
      </w:r>
      <w:r w:rsidRPr="00792295">
        <w:rPr>
          <w:i/>
          <w:iCs/>
          <w:noProof/>
          <w:sz w:val="22"/>
          <w:lang w:val="fr-BE"/>
        </w:rPr>
        <w:t>Pluralism and media concentration before the Council of State</w:t>
      </w:r>
      <w:r w:rsidRPr="00792295">
        <w:rPr>
          <w:noProof/>
          <w:sz w:val="22"/>
          <w:lang w:val="fr-BE"/>
        </w:rPr>
        <w:t xml:space="preserve"> </w:t>
      </w:r>
      <w:r w:rsidRPr="00792295">
        <w:rPr>
          <w:i/>
          <w:iCs/>
          <w:noProof/>
          <w:sz w:val="22"/>
          <w:lang w:val="fr-BE"/>
        </w:rPr>
        <w:t>(</w:t>
      </w:r>
      <w:hyperlink r:id="rId51" w:history="1">
        <w:r w:rsidRPr="00792295">
          <w:rPr>
            <w:i/>
            <w:iCs/>
            <w:noProof/>
            <w:sz w:val="22"/>
            <w:lang w:val="fr-BE"/>
          </w:rPr>
          <w:t>Le</w:t>
        </w:r>
      </w:hyperlink>
      <w:r w:rsidRPr="00792295">
        <w:rPr>
          <w:i/>
          <w:iCs/>
          <w:noProof/>
          <w:sz w:val="22"/>
          <w:lang w:val="fr-BE"/>
        </w:rPr>
        <w:t xml:space="preserve"> Pluralisme et la concentration des médias devant le Conseil d’Etat),</w:t>
      </w:r>
      <w:r w:rsidRPr="00792295">
        <w:rPr>
          <w:noProof/>
          <w:sz w:val="22"/>
          <w:lang w:val="fr-BE"/>
        </w:rPr>
        <w:t xml:space="preserve"> 9 March 2026, SNJ website.</w:t>
      </w:r>
    </w:p>
    <w:p w14:paraId="439C3A9C" w14:textId="77777777" w:rsidR="00232E3A" w:rsidRPr="003C5AAF" w:rsidRDefault="00232E3A" w:rsidP="001A66AF">
      <w:pPr>
        <w:spacing w:after="120"/>
        <w:rPr>
          <w:noProof/>
          <w:sz w:val="22"/>
          <w:lang w:val="fr-BE"/>
        </w:rPr>
      </w:pPr>
      <w:r w:rsidRPr="009B34B3">
        <w:rPr>
          <w:noProof/>
          <w:sz w:val="22"/>
        </w:rPr>
        <w:t>SNJ</w:t>
      </w:r>
      <w:r w:rsidRPr="009B34B3">
        <w:rPr>
          <w:i/>
          <w:iCs/>
          <w:noProof/>
          <w:sz w:val="22"/>
        </w:rPr>
        <w:t xml:space="preserve">, The </w:t>
      </w:r>
      <w:r w:rsidRPr="009952F0">
        <w:rPr>
          <w:i/>
          <w:iCs/>
          <w:noProof/>
          <w:sz w:val="22"/>
        </w:rPr>
        <w:t xml:space="preserve">Court of Cassation extends </w:t>
      </w:r>
      <w:r>
        <w:rPr>
          <w:i/>
          <w:iCs/>
          <w:noProof/>
          <w:sz w:val="22"/>
        </w:rPr>
        <w:t xml:space="preserve">the </w:t>
      </w:r>
      <w:r w:rsidRPr="009952F0">
        <w:rPr>
          <w:i/>
          <w:iCs/>
          <w:noProof/>
          <w:sz w:val="22"/>
        </w:rPr>
        <w:t>protection of source secrecy … ineffectively</w:t>
      </w:r>
      <w:r>
        <w:rPr>
          <w:i/>
          <w:iCs/>
          <w:noProof/>
          <w:sz w:val="22"/>
        </w:rPr>
        <w:t>.</w:t>
      </w:r>
      <w:r w:rsidRPr="009B34B3">
        <w:rPr>
          <w:i/>
          <w:iCs/>
          <w:noProof/>
          <w:sz w:val="22"/>
        </w:rPr>
        <w:t xml:space="preserve"> </w:t>
      </w:r>
      <w:r w:rsidRPr="009B34B3">
        <w:rPr>
          <w:i/>
          <w:iCs/>
          <w:noProof/>
          <w:sz w:val="22"/>
          <w:lang w:val="fr-BE"/>
        </w:rPr>
        <w:t>(</w:t>
      </w:r>
      <w:r w:rsidRPr="003C5AAF">
        <w:rPr>
          <w:i/>
          <w:iCs/>
          <w:noProof/>
          <w:sz w:val="22"/>
          <w:lang w:val="fr-BE"/>
        </w:rPr>
        <w:t>La Cour de cassation étend la protection du secret des sources… sans efficacité</w:t>
      </w:r>
      <w:r w:rsidRPr="009B34B3">
        <w:rPr>
          <w:i/>
          <w:iCs/>
          <w:noProof/>
          <w:sz w:val="22"/>
          <w:lang w:val="fr-BE"/>
        </w:rPr>
        <w:t>)</w:t>
      </w:r>
      <w:r w:rsidRPr="003C5AAF">
        <w:rPr>
          <w:i/>
          <w:iCs/>
          <w:noProof/>
          <w:sz w:val="22"/>
          <w:lang w:val="fr-BE"/>
        </w:rPr>
        <w:t>,</w:t>
      </w:r>
      <w:r w:rsidRPr="003C5AAF">
        <w:rPr>
          <w:noProof/>
          <w:sz w:val="22"/>
          <w:lang w:val="fr-BE"/>
        </w:rPr>
        <w:t xml:space="preserve"> SNJ website.</w:t>
      </w:r>
    </w:p>
    <w:p w14:paraId="5B815A4C" w14:textId="77777777" w:rsidR="00232E3A" w:rsidRPr="001C75A2" w:rsidRDefault="00232E3A" w:rsidP="001A66AF">
      <w:pPr>
        <w:spacing w:after="120"/>
        <w:rPr>
          <w:noProof/>
          <w:sz w:val="22"/>
          <w:lang w:eastAsia="en-GB"/>
        </w:rPr>
      </w:pPr>
      <w:r w:rsidRPr="001C75A2">
        <w:rPr>
          <w:noProof/>
          <w:sz w:val="22"/>
          <w:lang w:eastAsia="en-GB"/>
        </w:rPr>
        <w:t xml:space="preserve">Transparency International </w:t>
      </w:r>
      <w:r>
        <w:rPr>
          <w:noProof/>
          <w:sz w:val="22"/>
          <w:lang w:eastAsia="en-GB"/>
        </w:rPr>
        <w:t xml:space="preserve">France </w:t>
      </w:r>
      <w:r w:rsidRPr="001C75A2">
        <w:rPr>
          <w:noProof/>
          <w:sz w:val="22"/>
          <w:lang w:eastAsia="en-GB"/>
        </w:rPr>
        <w:t xml:space="preserve">(2026), </w:t>
      </w:r>
      <w:r w:rsidRPr="000402EF">
        <w:rPr>
          <w:i/>
          <w:iCs/>
          <w:noProof/>
          <w:sz w:val="22"/>
          <w:lang w:val="en-IE" w:eastAsia="en-GB"/>
        </w:rPr>
        <w:t xml:space="preserve">Input from </w:t>
      </w:r>
      <w:r>
        <w:rPr>
          <w:i/>
          <w:iCs/>
          <w:noProof/>
          <w:sz w:val="22"/>
          <w:lang w:val="en-IE" w:eastAsia="en-GB"/>
        </w:rPr>
        <w:t>Transparency International France</w:t>
      </w:r>
      <w:r w:rsidRPr="000402EF">
        <w:rPr>
          <w:i/>
          <w:iCs/>
          <w:noProof/>
          <w:sz w:val="22"/>
          <w:lang w:val="en-IE" w:eastAsia="en-GB"/>
        </w:rPr>
        <w:t xml:space="preserve"> to the 2026 Rule of Law Report</w:t>
      </w:r>
      <w:r>
        <w:rPr>
          <w:i/>
          <w:iCs/>
          <w:noProof/>
          <w:sz w:val="22"/>
          <w:lang w:val="en-IE" w:eastAsia="en-GB"/>
        </w:rPr>
        <w:t>.</w:t>
      </w:r>
    </w:p>
    <w:p w14:paraId="0C71F778" w14:textId="7DB9287C" w:rsidR="00232E3A" w:rsidRPr="003502C7" w:rsidRDefault="00232E3A" w:rsidP="001A66AF">
      <w:pPr>
        <w:spacing w:after="120"/>
        <w:rPr>
          <w:i/>
          <w:iCs/>
          <w:noProof/>
          <w:sz w:val="22"/>
          <w:lang w:val="en-US" w:eastAsia="en-GB"/>
        </w:rPr>
      </w:pPr>
      <w:r w:rsidRPr="003502C7">
        <w:rPr>
          <w:noProof/>
          <w:sz w:val="22"/>
          <w:lang w:val="en-US" w:eastAsia="en-GB"/>
        </w:rPr>
        <w:t>Transparency International France, Alternative Plan : 19 measures to fight corruption efficiently</w:t>
      </w:r>
      <w:r w:rsidR="003502C7">
        <w:rPr>
          <w:noProof/>
          <w:sz w:val="22"/>
          <w:lang w:val="en-US" w:eastAsia="en-GB"/>
        </w:rPr>
        <w:t xml:space="preserve">, </w:t>
      </w:r>
      <w:hyperlink r:id="rId52" w:history="1">
        <w:r w:rsidR="003502C7" w:rsidRPr="000F6EC8">
          <w:rPr>
            <w:rStyle w:val="Hyperlink"/>
            <w:noProof/>
            <w:sz w:val="22"/>
            <w:lang w:val="en-US" w:eastAsia="en-GB"/>
          </w:rPr>
          <w:t>https://transparency-france.org/wp-content/uploads/2026/04/Transparency-France_Plan-alternatif_19-mesures-pour-faire-reculer-durablement-la-corruption-en-France.pdf</w:t>
        </w:r>
      </w:hyperlink>
      <w:r w:rsidR="003502C7">
        <w:rPr>
          <w:noProof/>
          <w:sz w:val="22"/>
          <w:lang w:val="en-US" w:eastAsia="en-GB"/>
        </w:rPr>
        <w:t xml:space="preserve">. </w:t>
      </w:r>
    </w:p>
    <w:p w14:paraId="0B2F729D" w14:textId="77777777" w:rsidR="00232E3A" w:rsidRPr="001C75A2" w:rsidRDefault="00232E3A" w:rsidP="001A66AF">
      <w:pPr>
        <w:spacing w:after="120"/>
        <w:rPr>
          <w:noProof/>
          <w:sz w:val="22"/>
          <w:lang w:val="en-IE" w:eastAsia="en-GB"/>
        </w:rPr>
      </w:pPr>
      <w:r w:rsidRPr="001C75A2">
        <w:rPr>
          <w:noProof/>
          <w:sz w:val="22"/>
          <w:lang w:val="en-IE" w:eastAsia="en-GB"/>
        </w:rPr>
        <w:t>United Nations, Human Rights, R</w:t>
      </w:r>
      <w:r>
        <w:rPr>
          <w:noProof/>
          <w:sz w:val="22"/>
          <w:lang w:val="en-IE" w:eastAsia="en-GB"/>
        </w:rPr>
        <w:t xml:space="preserve">egional Office Europe (2026), </w:t>
      </w:r>
      <w:r w:rsidRPr="001C75A2">
        <w:rPr>
          <w:i/>
          <w:iCs/>
          <w:noProof/>
          <w:sz w:val="22"/>
          <w:lang w:val="en-IE" w:eastAsia="en-GB"/>
        </w:rPr>
        <w:t>Input by the Office of the UN High Commissioner for Human Rights (OHCHR) to the 2026 Rule of Law Report.</w:t>
      </w:r>
    </w:p>
    <w:p w14:paraId="364CB778" w14:textId="34463824" w:rsidR="00232E3A" w:rsidRPr="00066D8D" w:rsidRDefault="00232E3A" w:rsidP="001A66AF">
      <w:pPr>
        <w:spacing w:after="120"/>
        <w:rPr>
          <w:noProof/>
          <w:sz w:val="22"/>
          <w:lang w:val="en-IE" w:eastAsia="en-GB"/>
        </w:rPr>
      </w:pPr>
      <w:r w:rsidRPr="00066D8D">
        <w:rPr>
          <w:noProof/>
          <w:sz w:val="22"/>
          <w:lang w:val="en-IE" w:eastAsia="en-GB"/>
        </w:rPr>
        <w:t xml:space="preserve">Université de Lille (CERAPS), </w:t>
      </w:r>
      <w:r w:rsidRPr="00066D8D">
        <w:rPr>
          <w:noProof/>
          <w:sz w:val="22"/>
          <w:lang w:val="en-IE"/>
        </w:rPr>
        <w:t xml:space="preserve">University of Lille (2025), with CNRS, AMR and the Observatory of associative freedoms, Results of the first national survey on relations between associations and public authorities, </w:t>
      </w:r>
      <w:hyperlink r:id="rId53" w:history="1">
        <w:r w:rsidRPr="00066D8D">
          <w:rPr>
            <w:rStyle w:val="Hyperlink"/>
            <w:noProof/>
            <w:sz w:val="22"/>
            <w:lang w:val="en-IE"/>
          </w:rPr>
          <w:t>Présentation des résultats de la première enquête nationale sur les relations entre associations et pouvoirs publics - Observatoire Libertés Associatives</w:t>
        </w:r>
      </w:hyperlink>
      <w:r w:rsidR="002834D5" w:rsidRPr="00066D8D">
        <w:rPr>
          <w:noProof/>
          <w:lang w:val="en-IE"/>
        </w:rPr>
        <w:t xml:space="preserve"> </w:t>
      </w:r>
    </w:p>
    <w:p w14:paraId="14B96515" w14:textId="77777777" w:rsidR="00AD63B1" w:rsidRPr="005817FA" w:rsidRDefault="00AD63B1" w:rsidP="00AD63B1">
      <w:pPr>
        <w:pageBreakBefore/>
        <w:spacing w:after="120" w:line="264" w:lineRule="auto"/>
        <w:rPr>
          <w:b/>
          <w:noProof/>
          <w:lang w:val="en-IE" w:eastAsia="en-GB"/>
        </w:rPr>
      </w:pPr>
      <w:r w:rsidRPr="005817FA">
        <w:rPr>
          <w:b/>
          <w:noProof/>
          <w:lang w:val="en-IE" w:eastAsia="en-GB"/>
        </w:rPr>
        <w:t xml:space="preserve">Annex II: Country visit to </w:t>
      </w:r>
      <w:r>
        <w:rPr>
          <w:b/>
          <w:noProof/>
          <w:lang w:val="en-IE" w:eastAsia="en-GB"/>
        </w:rPr>
        <w:t>France</w:t>
      </w:r>
    </w:p>
    <w:p w14:paraId="2767A634" w14:textId="77777777" w:rsidR="00AD63B1" w:rsidRPr="005817FA" w:rsidRDefault="00AD63B1" w:rsidP="00AD63B1">
      <w:pPr>
        <w:spacing w:after="120" w:line="264" w:lineRule="auto"/>
        <w:rPr>
          <w:noProof/>
          <w:shd w:val="clear" w:color="auto" w:fill="FFFFFF"/>
          <w:lang w:val="en-IE" w:eastAsia="en-GB"/>
        </w:rPr>
      </w:pPr>
      <w:r w:rsidRPr="005817FA">
        <w:rPr>
          <w:noProof/>
          <w:lang w:val="en-IE" w:eastAsia="en-GB"/>
        </w:rPr>
        <w:t xml:space="preserve">The Commission services held </w:t>
      </w:r>
      <w:r>
        <w:rPr>
          <w:noProof/>
          <w:lang w:val="en-IE" w:eastAsia="en-GB"/>
        </w:rPr>
        <w:t xml:space="preserve">physical and </w:t>
      </w:r>
      <w:r w:rsidRPr="005817FA">
        <w:rPr>
          <w:noProof/>
          <w:lang w:val="en-IE" w:eastAsia="en-GB"/>
        </w:rPr>
        <w:t>virtual meetings in</w:t>
      </w:r>
      <w:r>
        <w:rPr>
          <w:noProof/>
          <w:lang w:val="en-IE" w:eastAsia="en-GB"/>
        </w:rPr>
        <w:t xml:space="preserve"> November 2025 and</w:t>
      </w:r>
      <w:r w:rsidRPr="005817FA">
        <w:rPr>
          <w:noProof/>
          <w:lang w:val="en-IE" w:eastAsia="en-GB"/>
        </w:rPr>
        <w:t xml:space="preserve"> </w:t>
      </w:r>
      <w:r>
        <w:rPr>
          <w:noProof/>
          <w:lang w:val="en-IE" w:eastAsia="en-GB"/>
        </w:rPr>
        <w:t>March 2026</w:t>
      </w:r>
      <w:r w:rsidRPr="005817FA">
        <w:rPr>
          <w:noProof/>
          <w:lang w:val="en-IE" w:eastAsia="en-GB"/>
        </w:rPr>
        <w:t xml:space="preserve"> with:</w:t>
      </w:r>
    </w:p>
    <w:p w14:paraId="4E5FEEFC" w14:textId="77777777" w:rsidR="00AD63B1" w:rsidRDefault="00AD63B1" w:rsidP="00AD63B1">
      <w:pPr>
        <w:numPr>
          <w:ilvl w:val="0"/>
          <w:numId w:val="21"/>
        </w:numPr>
        <w:spacing w:line="256" w:lineRule="auto"/>
        <w:ind w:left="714" w:hanging="357"/>
        <w:contextualSpacing/>
        <w:rPr>
          <w:noProof/>
          <w:szCs w:val="24"/>
          <w:bdr w:val="none" w:sz="0" w:space="0" w:color="auto" w:frame="1"/>
          <w:lang w:val="en-IE"/>
        </w:rPr>
      </w:pPr>
      <w:r>
        <w:rPr>
          <w:noProof/>
          <w:szCs w:val="24"/>
          <w:bdr w:val="none" w:sz="0" w:space="0" w:color="auto" w:frame="1"/>
          <w:lang w:val="en-IE"/>
        </w:rPr>
        <w:t>Agence France Press</w:t>
      </w:r>
    </w:p>
    <w:p w14:paraId="51600812" w14:textId="77777777" w:rsidR="00AD63B1" w:rsidRDefault="00AD63B1" w:rsidP="00AD63B1">
      <w:pPr>
        <w:numPr>
          <w:ilvl w:val="0"/>
          <w:numId w:val="21"/>
        </w:numPr>
        <w:spacing w:line="256" w:lineRule="auto"/>
        <w:ind w:left="714" w:hanging="357"/>
        <w:contextualSpacing/>
        <w:rPr>
          <w:noProof/>
          <w:szCs w:val="24"/>
          <w:bdr w:val="none" w:sz="0" w:space="0" w:color="auto" w:frame="1"/>
          <w:lang w:val="en-IE"/>
        </w:rPr>
      </w:pPr>
      <w:r>
        <w:rPr>
          <w:noProof/>
          <w:szCs w:val="24"/>
          <w:bdr w:val="none" w:sz="0" w:space="0" w:color="auto" w:frame="1"/>
          <w:lang w:val="en-IE"/>
        </w:rPr>
        <w:t xml:space="preserve">Associative Movement </w:t>
      </w:r>
    </w:p>
    <w:p w14:paraId="6C22822A" w14:textId="77777777" w:rsidR="00AD63B1" w:rsidRPr="000B6602"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Anticor</w:t>
      </w:r>
    </w:p>
    <w:p w14:paraId="02E8671E"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Authority for the regulation of the audiovisual and digital communication (ARCOM)</w:t>
      </w:r>
    </w:p>
    <w:p w14:paraId="28C8A611"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Constitutional Council</w:t>
      </w:r>
    </w:p>
    <w:p w14:paraId="3497AE8C"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Council of State</w:t>
      </w:r>
    </w:p>
    <w:p w14:paraId="3A100F92"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Defender of Rigths</w:t>
      </w:r>
    </w:p>
    <w:p w14:paraId="15321E4C"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D</w:t>
      </w:r>
      <w:r w:rsidRPr="000B6602">
        <w:rPr>
          <w:noProof/>
          <w:szCs w:val="24"/>
          <w:shd w:val="clear" w:color="auto" w:fill="FFFFFF"/>
          <w:lang w:val="en-IE"/>
        </w:rPr>
        <w:t>eontologist of the National Assembly</w:t>
      </w:r>
    </w:p>
    <w:p w14:paraId="3EC0FD4F"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Ethics Committee of the Senate</w:t>
      </w:r>
    </w:p>
    <w:p w14:paraId="0CC2A648"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European Civic Forum</w:t>
      </w:r>
    </w:p>
    <w:p w14:paraId="2271BED2"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Federation of French Entreprises and Entrepreneurs (FEEF)</w:t>
      </w:r>
    </w:p>
    <w:p w14:paraId="00B24DA4"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High Council for the Judiciary (</w:t>
      </w:r>
      <w:r>
        <w:rPr>
          <w:noProof/>
          <w:szCs w:val="24"/>
          <w:bdr w:val="none" w:sz="0" w:space="0" w:color="auto" w:frame="1"/>
          <w:lang w:val="en-IE"/>
        </w:rPr>
        <w:t>physically and virtually)</w:t>
      </w:r>
    </w:p>
    <w:p w14:paraId="53594DC4"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B6602">
        <w:rPr>
          <w:noProof/>
          <w:szCs w:val="24"/>
          <w:shd w:val="clear" w:color="auto" w:fill="FFFFFF"/>
          <w:lang w:val="en-IE"/>
        </w:rPr>
        <w:t>Journalistic Ethics and Mediation Council (CDJM)</w:t>
      </w:r>
    </w:p>
    <w:p w14:paraId="24093318"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A610E">
        <w:rPr>
          <w:noProof/>
          <w:szCs w:val="24"/>
          <w:shd w:val="clear" w:color="auto" w:fill="FFFFFF"/>
          <w:lang w:val="en-IE"/>
        </w:rPr>
        <w:t>League of Human Rights</w:t>
      </w:r>
      <w:r>
        <w:rPr>
          <w:noProof/>
          <w:szCs w:val="24"/>
          <w:shd w:val="clear" w:color="auto" w:fill="FFFFFF"/>
          <w:lang w:val="en-IE"/>
        </w:rPr>
        <w:t xml:space="preserve"> (LDH)</w:t>
      </w:r>
    </w:p>
    <w:p w14:paraId="0FF9EB53"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Magistracy’s Union (SM)</w:t>
      </w:r>
    </w:p>
    <w:p w14:paraId="01C58D32"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Magistrates’ Union (USM)</w:t>
      </w:r>
    </w:p>
    <w:p w14:paraId="12C679EE"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B6602">
        <w:rPr>
          <w:noProof/>
          <w:szCs w:val="24"/>
          <w:shd w:val="clear" w:color="auto" w:fill="FFFFFF"/>
          <w:lang w:val="en-IE"/>
        </w:rPr>
        <w:t>National Advisory Committee on Human Rights</w:t>
      </w:r>
      <w:r>
        <w:rPr>
          <w:noProof/>
          <w:szCs w:val="24"/>
          <w:shd w:val="clear" w:color="auto" w:fill="FFFFFF"/>
          <w:lang w:val="en-IE"/>
        </w:rPr>
        <w:t xml:space="preserve"> (CNCDH) (</w:t>
      </w:r>
      <w:r>
        <w:rPr>
          <w:noProof/>
          <w:szCs w:val="24"/>
          <w:bdr w:val="none" w:sz="0" w:space="0" w:color="auto" w:frame="1"/>
          <w:lang w:val="en-IE"/>
        </w:rPr>
        <w:t>physically and virtually</w:t>
      </w:r>
      <w:r>
        <w:rPr>
          <w:noProof/>
          <w:szCs w:val="24"/>
          <w:shd w:val="clear" w:color="auto" w:fill="FFFFFF"/>
          <w:lang w:val="en-IE"/>
        </w:rPr>
        <w:t>)</w:t>
      </w:r>
    </w:p>
    <w:p w14:paraId="63404CDE"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 xml:space="preserve">National Bar Council, Delegation of French Bars, Paris Bar and </w:t>
      </w:r>
      <w:r w:rsidRPr="00E32E4B">
        <w:rPr>
          <w:noProof/>
          <w:szCs w:val="24"/>
          <w:shd w:val="clear" w:color="auto" w:fill="FFFFFF"/>
          <w:lang w:val="en-IE"/>
        </w:rPr>
        <w:t>Conference of Batonniers</w:t>
      </w:r>
    </w:p>
    <w:p w14:paraId="34D1D457"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A610E">
        <w:rPr>
          <w:noProof/>
          <w:szCs w:val="24"/>
          <w:shd w:val="clear" w:color="auto" w:fill="FFFFFF"/>
          <w:lang w:val="en-IE"/>
        </w:rPr>
        <w:t>National Commission for Campaign Accounts and Political Funding (CNCCFP)</w:t>
      </w:r>
    </w:p>
    <w:p w14:paraId="70CBD276"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A610E">
        <w:rPr>
          <w:noProof/>
          <w:szCs w:val="24"/>
          <w:shd w:val="clear" w:color="auto" w:fill="FFFFFF"/>
          <w:lang w:val="en-IE"/>
        </w:rPr>
        <w:t>National Union of Journalists (SNJ)</w:t>
      </w:r>
    </w:p>
    <w:p w14:paraId="5655F64C" w14:textId="77777777" w:rsidR="00AD63B1" w:rsidRPr="005817FA" w:rsidRDefault="00AD63B1" w:rsidP="00AD63B1">
      <w:pPr>
        <w:numPr>
          <w:ilvl w:val="0"/>
          <w:numId w:val="21"/>
        </w:numPr>
        <w:spacing w:line="256" w:lineRule="auto"/>
        <w:ind w:left="714" w:hanging="357"/>
        <w:contextualSpacing/>
        <w:rPr>
          <w:noProof/>
          <w:szCs w:val="24"/>
          <w:bdr w:val="none" w:sz="0" w:space="0" w:color="auto" w:frame="1"/>
          <w:lang w:val="en-IE"/>
        </w:rPr>
      </w:pPr>
      <w:r>
        <w:rPr>
          <w:noProof/>
          <w:szCs w:val="24"/>
          <w:bdr w:val="none" w:sz="0" w:space="0" w:color="auto" w:frame="1"/>
          <w:lang w:val="en-IE"/>
        </w:rPr>
        <w:t>Public authorities: Secretariat-General for European Affairs, Ministry of Justice (physically and virtually), Ministry of European and Foreign Affairs, Ministry for Culture, Ministry of Sports, Youth and Associative Life, Secretariat-General of the Government for European Affairs (physically and virtually), Interministerial Direction for Public Transformation, French Representation to the EU, French Agency against Corruption.</w:t>
      </w:r>
    </w:p>
    <w:p w14:paraId="3AD69E25"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Public Service Media (France TV and Radio France)</w:t>
      </w:r>
    </w:p>
    <w:p w14:paraId="567DD7CB"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A610E">
        <w:rPr>
          <w:noProof/>
          <w:szCs w:val="24"/>
          <w:shd w:val="clear" w:color="auto" w:fill="FFFFFF"/>
          <w:lang w:val="en-IE"/>
        </w:rPr>
        <w:t>Regulatory Authority for Audiovisual and Digital Communication (ARCOM)</w:t>
      </w:r>
    </w:p>
    <w:p w14:paraId="34CC653B"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sidRPr="000A610E">
        <w:rPr>
          <w:noProof/>
          <w:szCs w:val="24"/>
          <w:shd w:val="clear" w:color="auto" w:fill="FFFFFF"/>
          <w:lang w:val="en-IE"/>
        </w:rPr>
        <w:t>Reporters Without Borders (RSF)</w:t>
      </w:r>
    </w:p>
    <w:p w14:paraId="20546426" w14:textId="77777777" w:rsidR="00AD63B1"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Superior Council of the Magistracy</w:t>
      </w:r>
    </w:p>
    <w:p w14:paraId="6092C5DE" w14:textId="77777777" w:rsidR="00AD63B1" w:rsidRPr="005817FA" w:rsidRDefault="00AD63B1" w:rsidP="00AD63B1">
      <w:pPr>
        <w:numPr>
          <w:ilvl w:val="0"/>
          <w:numId w:val="21"/>
        </w:numPr>
        <w:spacing w:line="256" w:lineRule="auto"/>
        <w:ind w:left="714" w:hanging="357"/>
        <w:contextualSpacing/>
        <w:rPr>
          <w:noProof/>
          <w:szCs w:val="24"/>
          <w:shd w:val="clear" w:color="auto" w:fill="FFFFFF"/>
          <w:lang w:val="en-IE"/>
        </w:rPr>
      </w:pPr>
      <w:r>
        <w:rPr>
          <w:noProof/>
          <w:szCs w:val="24"/>
          <w:shd w:val="clear" w:color="auto" w:fill="FFFFFF"/>
          <w:lang w:val="en-IE"/>
        </w:rPr>
        <w:t>Transparency International France</w:t>
      </w:r>
    </w:p>
    <w:p w14:paraId="79BDBB19" w14:textId="77777777" w:rsidR="00AD63B1" w:rsidRPr="005817FA" w:rsidRDefault="00AD63B1" w:rsidP="00AD63B1">
      <w:pPr>
        <w:spacing w:after="120" w:line="264" w:lineRule="auto"/>
        <w:rPr>
          <w:noProof/>
          <w:shd w:val="clear" w:color="auto" w:fill="FFFFFF"/>
          <w:lang w:val="en-IE" w:eastAsia="en-GB"/>
        </w:rPr>
      </w:pPr>
    </w:p>
    <w:p w14:paraId="7EBFAC08" w14:textId="77777777" w:rsidR="00AD63B1" w:rsidRPr="005817FA" w:rsidRDefault="00AD63B1" w:rsidP="00AD63B1">
      <w:pPr>
        <w:spacing w:after="120" w:line="264" w:lineRule="auto"/>
        <w:rPr>
          <w:noProof/>
          <w:lang w:val="en-IE" w:eastAsia="en-GB"/>
        </w:rPr>
      </w:pPr>
      <w:r w:rsidRPr="005817FA">
        <w:rPr>
          <w:noProof/>
          <w:lang w:val="en-IE" w:eastAsia="en-GB"/>
        </w:rPr>
        <w:t xml:space="preserve">* The Commission also met the following organisations in a number of horizontal meetings: </w:t>
      </w:r>
    </w:p>
    <w:p w14:paraId="1A37BC26" w14:textId="77777777" w:rsidR="00AD63B1" w:rsidRDefault="00AD63B1" w:rsidP="00AD63B1">
      <w:pPr>
        <w:numPr>
          <w:ilvl w:val="0"/>
          <w:numId w:val="22"/>
        </w:numPr>
        <w:spacing w:after="0" w:line="264" w:lineRule="auto"/>
        <w:rPr>
          <w:noProof/>
          <w:lang w:eastAsia="en-GB"/>
        </w:rPr>
      </w:pPr>
      <w:r>
        <w:rPr>
          <w:noProof/>
          <w:lang w:eastAsia="en-GB"/>
        </w:rPr>
        <w:t>Civil Liberties Union for Europe</w:t>
      </w:r>
    </w:p>
    <w:p w14:paraId="6739C06A" w14:textId="77777777" w:rsidR="00AD63B1" w:rsidRDefault="00AD63B1" w:rsidP="00AD63B1">
      <w:pPr>
        <w:numPr>
          <w:ilvl w:val="0"/>
          <w:numId w:val="22"/>
        </w:numPr>
        <w:spacing w:after="0" w:line="264" w:lineRule="auto"/>
        <w:rPr>
          <w:noProof/>
          <w:lang w:eastAsia="en-GB"/>
        </w:rPr>
      </w:pPr>
      <w:r>
        <w:rPr>
          <w:noProof/>
          <w:lang w:eastAsia="en-GB"/>
        </w:rPr>
        <w:t>Civil Society Europe</w:t>
      </w:r>
    </w:p>
    <w:p w14:paraId="2D978EB5" w14:textId="77777777" w:rsidR="00AD63B1" w:rsidRDefault="00AD63B1" w:rsidP="00AD63B1">
      <w:pPr>
        <w:numPr>
          <w:ilvl w:val="0"/>
          <w:numId w:val="22"/>
        </w:numPr>
        <w:spacing w:after="0" w:line="264" w:lineRule="auto"/>
        <w:rPr>
          <w:noProof/>
          <w:lang w:eastAsia="en-GB"/>
        </w:rPr>
      </w:pPr>
      <w:r>
        <w:rPr>
          <w:noProof/>
          <w:lang w:eastAsia="en-GB"/>
        </w:rPr>
        <w:t>End FGM EU</w:t>
      </w:r>
    </w:p>
    <w:p w14:paraId="2A4A7452" w14:textId="77777777" w:rsidR="00AD63B1" w:rsidRDefault="00AD63B1" w:rsidP="00AD63B1">
      <w:pPr>
        <w:numPr>
          <w:ilvl w:val="0"/>
          <w:numId w:val="22"/>
        </w:numPr>
        <w:spacing w:after="0" w:line="264" w:lineRule="auto"/>
        <w:rPr>
          <w:noProof/>
          <w:lang w:eastAsia="en-GB"/>
        </w:rPr>
      </w:pPr>
      <w:r>
        <w:rPr>
          <w:noProof/>
          <w:lang w:eastAsia="en-GB"/>
        </w:rPr>
        <w:t>European Civic Forum</w:t>
      </w:r>
    </w:p>
    <w:p w14:paraId="055D3AF8" w14:textId="77777777" w:rsidR="00AD63B1" w:rsidRDefault="00AD63B1" w:rsidP="00AD63B1">
      <w:pPr>
        <w:numPr>
          <w:ilvl w:val="0"/>
          <w:numId w:val="22"/>
        </w:numPr>
        <w:spacing w:after="0" w:line="264" w:lineRule="auto"/>
        <w:rPr>
          <w:noProof/>
          <w:lang w:eastAsia="en-GB"/>
        </w:rPr>
      </w:pPr>
      <w:r>
        <w:rPr>
          <w:noProof/>
          <w:lang w:eastAsia="en-GB"/>
        </w:rPr>
        <w:t>European Partnership for Democracy</w:t>
      </w:r>
    </w:p>
    <w:p w14:paraId="64ABF304" w14:textId="77777777" w:rsidR="00AD63B1" w:rsidRDefault="00AD63B1" w:rsidP="00AD63B1">
      <w:pPr>
        <w:numPr>
          <w:ilvl w:val="0"/>
          <w:numId w:val="22"/>
        </w:numPr>
        <w:spacing w:after="0" w:line="264" w:lineRule="auto"/>
        <w:rPr>
          <w:noProof/>
          <w:lang w:eastAsia="en-GB"/>
        </w:rPr>
      </w:pPr>
      <w:r>
        <w:rPr>
          <w:noProof/>
          <w:lang w:eastAsia="en-GB"/>
        </w:rPr>
        <w:t>Human Rights Watch</w:t>
      </w:r>
    </w:p>
    <w:p w14:paraId="3396BFC3" w14:textId="77777777" w:rsidR="00AD63B1" w:rsidRDefault="00AD63B1" w:rsidP="00AD63B1">
      <w:pPr>
        <w:numPr>
          <w:ilvl w:val="0"/>
          <w:numId w:val="22"/>
        </w:numPr>
        <w:spacing w:after="0" w:line="264" w:lineRule="auto"/>
        <w:rPr>
          <w:noProof/>
          <w:lang w:eastAsia="en-GB"/>
        </w:rPr>
      </w:pPr>
      <w:r>
        <w:rPr>
          <w:noProof/>
          <w:lang w:eastAsia="en-GB"/>
        </w:rPr>
        <w:t>ILGA-Europe</w:t>
      </w:r>
    </w:p>
    <w:p w14:paraId="3947777A" w14:textId="77777777" w:rsidR="00AD63B1" w:rsidRDefault="00AD63B1" w:rsidP="00AD63B1">
      <w:pPr>
        <w:numPr>
          <w:ilvl w:val="0"/>
          <w:numId w:val="22"/>
        </w:numPr>
        <w:spacing w:after="0" w:line="264" w:lineRule="auto"/>
        <w:rPr>
          <w:noProof/>
          <w:lang w:eastAsia="en-GB"/>
        </w:rPr>
      </w:pPr>
      <w:r>
        <w:rPr>
          <w:noProof/>
          <w:lang w:eastAsia="en-GB"/>
        </w:rPr>
        <w:t>International Federation for Human Rights</w:t>
      </w:r>
    </w:p>
    <w:p w14:paraId="05BF62C8" w14:textId="77777777" w:rsidR="00AD63B1" w:rsidRDefault="00AD63B1" w:rsidP="00AD63B1">
      <w:pPr>
        <w:numPr>
          <w:ilvl w:val="0"/>
          <w:numId w:val="22"/>
        </w:numPr>
        <w:spacing w:after="0" w:line="264" w:lineRule="auto"/>
        <w:rPr>
          <w:noProof/>
          <w:lang w:eastAsia="en-GB"/>
        </w:rPr>
      </w:pPr>
      <w:r>
        <w:rPr>
          <w:noProof/>
          <w:lang w:eastAsia="en-GB"/>
        </w:rPr>
        <w:t>Philea - Philanthropy Europe Association</w:t>
      </w:r>
    </w:p>
    <w:p w14:paraId="1A3D55DF" w14:textId="77777777" w:rsidR="00AD63B1" w:rsidRDefault="00AD63B1" w:rsidP="00AD63B1">
      <w:pPr>
        <w:numPr>
          <w:ilvl w:val="0"/>
          <w:numId w:val="22"/>
        </w:numPr>
        <w:spacing w:after="0" w:line="264" w:lineRule="auto"/>
        <w:rPr>
          <w:noProof/>
          <w:lang w:eastAsia="en-GB"/>
        </w:rPr>
      </w:pPr>
      <w:r>
        <w:rPr>
          <w:noProof/>
          <w:lang w:eastAsia="en-GB"/>
        </w:rPr>
        <w:t>Transparency International EU</w:t>
      </w:r>
    </w:p>
    <w:p w14:paraId="3E13FCDE" w14:textId="77777777" w:rsidR="00AD63B1" w:rsidRPr="001D5456" w:rsidRDefault="00AD63B1" w:rsidP="00AD63B1">
      <w:pPr>
        <w:spacing w:after="0" w:line="264" w:lineRule="auto"/>
        <w:ind w:left="714"/>
        <w:rPr>
          <w:noProof/>
          <w:lang w:val="en-IE" w:eastAsia="en-GB"/>
        </w:rPr>
      </w:pPr>
    </w:p>
    <w:p w14:paraId="7C71BB12" w14:textId="77777777" w:rsidR="00CD604B" w:rsidRDefault="00CD604B" w:rsidP="00B51782">
      <w:pPr>
        <w:rPr>
          <w:noProof/>
        </w:rPr>
      </w:pPr>
    </w:p>
    <w:sectPr w:rsidR="00CD604B" w:rsidSect="00AD63B1">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0411ED" w14:textId="77777777" w:rsidR="00DE0124" w:rsidRDefault="00DE0124">
      <w:pPr>
        <w:spacing w:after="0"/>
      </w:pPr>
      <w:r>
        <w:separator/>
      </w:r>
    </w:p>
  </w:endnote>
  <w:endnote w:type="continuationSeparator" w:id="0">
    <w:p w14:paraId="669107E2" w14:textId="77777777" w:rsidR="00DE0124" w:rsidRDefault="00DE01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B091A" w14:textId="4F15C464" w:rsidR="00CD293F" w:rsidRPr="00CD293F" w:rsidRDefault="00CD293F" w:rsidP="00CD293F">
    <w:pPr>
      <w:pStyle w:val="FooterCoverPage"/>
      <w:rPr>
        <w:rFonts w:ascii="Arial" w:hAnsi="Arial" w:cs="Arial"/>
        <w:b/>
        <w:sz w:val="48"/>
      </w:rPr>
    </w:pPr>
    <w:r w:rsidRPr="00CD293F">
      <w:rPr>
        <w:rFonts w:ascii="Arial" w:hAnsi="Arial" w:cs="Arial"/>
        <w:b/>
        <w:sz w:val="48"/>
      </w:rPr>
      <w:t>EN</w:t>
    </w:r>
    <w:r w:rsidRPr="00CD293F">
      <w:rPr>
        <w:rFonts w:ascii="Arial" w:hAnsi="Arial" w:cs="Arial"/>
        <w:b/>
        <w:sz w:val="48"/>
      </w:rPr>
      <w:tab/>
    </w:r>
    <w:r w:rsidRPr="00CD293F">
      <w:rPr>
        <w:rFonts w:ascii="Arial" w:hAnsi="Arial" w:cs="Arial"/>
        <w:b/>
        <w:sz w:val="48"/>
      </w:rPr>
      <w:tab/>
    </w:r>
    <w:r w:rsidRPr="00CD293F">
      <w:tab/>
    </w:r>
    <w:r w:rsidRPr="00CD293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680E8" w14:textId="7E7FDB93" w:rsidR="00CD293F" w:rsidRPr="00CD293F" w:rsidRDefault="00CD293F" w:rsidP="00CD293F">
    <w:pPr>
      <w:pStyle w:val="FooterCoverPage"/>
      <w:rPr>
        <w:rFonts w:ascii="Arial" w:hAnsi="Arial" w:cs="Arial"/>
        <w:b/>
        <w:sz w:val="48"/>
      </w:rPr>
    </w:pPr>
    <w:r w:rsidRPr="00CD293F">
      <w:rPr>
        <w:rFonts w:ascii="Arial" w:hAnsi="Arial" w:cs="Arial"/>
        <w:b/>
        <w:sz w:val="48"/>
      </w:rPr>
      <w:t>EN</w:t>
    </w:r>
    <w:r w:rsidRPr="00CD293F">
      <w:rPr>
        <w:rFonts w:ascii="Arial" w:hAnsi="Arial" w:cs="Arial"/>
        <w:b/>
        <w:sz w:val="48"/>
      </w:rPr>
      <w:tab/>
    </w:r>
    <w:r w:rsidRPr="00CD293F">
      <w:rPr>
        <w:rFonts w:ascii="Arial" w:hAnsi="Arial" w:cs="Arial"/>
        <w:b/>
        <w:sz w:val="48"/>
      </w:rPr>
      <w:tab/>
    </w:r>
    <w:r w:rsidRPr="00CD293F">
      <w:tab/>
    </w:r>
    <w:r w:rsidRPr="00CD293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AB6E" w14:textId="77777777" w:rsidR="00CD293F" w:rsidRPr="00CD293F" w:rsidRDefault="00CD293F" w:rsidP="00CD293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94B1C" w14:textId="77777777" w:rsidR="00AD63B1" w:rsidRDefault="00AD63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sz w:val="24"/>
        <w:szCs w:val="24"/>
      </w:rPr>
    </w:sdtEndPr>
    <w:sdtContent>
      <w:p w14:paraId="4D3FB35A" w14:textId="2BFCE396" w:rsidR="00AD63B1" w:rsidRPr="00AD63B1" w:rsidRDefault="00AD63B1">
        <w:pPr>
          <w:pStyle w:val="Footer"/>
          <w:jc w:val="center"/>
          <w:rPr>
            <w:sz w:val="24"/>
            <w:szCs w:val="24"/>
          </w:rPr>
        </w:pPr>
        <w:r w:rsidRPr="00AD63B1">
          <w:rPr>
            <w:sz w:val="24"/>
            <w:szCs w:val="24"/>
          </w:rPr>
          <w:fldChar w:fldCharType="begin"/>
        </w:r>
        <w:r w:rsidRPr="00AD63B1">
          <w:rPr>
            <w:sz w:val="24"/>
            <w:szCs w:val="24"/>
          </w:rPr>
          <w:instrText xml:space="preserve"> PAGE   \* MERGEFORMAT </w:instrText>
        </w:r>
        <w:r w:rsidRPr="00AD63B1">
          <w:rPr>
            <w:sz w:val="24"/>
            <w:szCs w:val="24"/>
          </w:rPr>
          <w:fldChar w:fldCharType="separate"/>
        </w:r>
        <w:r w:rsidR="00CD293F">
          <w:rPr>
            <w:noProof/>
            <w:sz w:val="24"/>
            <w:szCs w:val="24"/>
          </w:rPr>
          <w:t>2</w:t>
        </w:r>
        <w:r w:rsidRPr="00AD63B1">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6C52ADF3" w14:textId="77777777" w:rsidR="00AD63B1" w:rsidRDefault="00AD63B1">
        <w:pPr>
          <w:pStyle w:val="Footer"/>
          <w:jc w:val="center"/>
        </w:pPr>
      </w:p>
      <w:p w14:paraId="3AE823B6" w14:textId="77777777" w:rsidR="00AD63B1" w:rsidRDefault="00AD63B1">
        <w:pPr>
          <w:pStyle w:val="Footer"/>
          <w:jc w:val="center"/>
        </w:pPr>
      </w:p>
      <w:p w14:paraId="76AECE43" w14:textId="77777777" w:rsidR="00AD63B1" w:rsidRDefault="00AD63B1">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2B2BD5AE" w14:textId="77777777" w:rsidR="00AD63B1" w:rsidRDefault="00AD63B1"/>
  <w:p w14:paraId="4BB13912" w14:textId="77777777" w:rsidR="00AD63B1" w:rsidRDefault="00AD63B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FEE9F" w14:textId="77777777" w:rsidR="00DE0124" w:rsidRDefault="00DE0124">
      <w:pPr>
        <w:spacing w:after="0"/>
      </w:pPr>
      <w:r>
        <w:separator/>
      </w:r>
    </w:p>
  </w:footnote>
  <w:footnote w:type="continuationSeparator" w:id="0">
    <w:p w14:paraId="7654597C" w14:textId="77777777" w:rsidR="00DE0124" w:rsidRDefault="00DE0124">
      <w:pPr>
        <w:spacing w:after="0"/>
      </w:pPr>
      <w:r>
        <w:continuationSeparator/>
      </w:r>
    </w:p>
  </w:footnote>
  <w:footnote w:id="1">
    <w:p w14:paraId="1FD8949C" w14:textId="1D85D4C4" w:rsidR="00AD63B1" w:rsidRPr="00CC69E1" w:rsidRDefault="00AD63B1" w:rsidP="00792295">
      <w:pPr>
        <w:pStyle w:val="FootnoteRoLReport"/>
      </w:pPr>
      <w:r w:rsidRPr="48FACCB2">
        <w:rPr>
          <w:rStyle w:val="FootnoteReference"/>
          <w:lang w:val="en-IE"/>
        </w:rPr>
        <w:footnoteRef/>
      </w:r>
      <w:r>
        <w:rPr>
          <w:rStyle w:val="FootnoteReference"/>
          <w:lang w:val="en-IE"/>
        </w:rPr>
        <w:tab/>
      </w:r>
      <w:r w:rsidRPr="48FACCB2">
        <w:t xml:space="preserve">An overview of the institutional framework for all four pillars can be found </w:t>
      </w:r>
      <w:hyperlink r:id="rId1" w:history="1">
        <w:r w:rsidR="00C62C2B" w:rsidRPr="00C62C2B">
          <w:rPr>
            <w:rStyle w:val="Hyperlink"/>
            <w:lang w:val="en-GB"/>
          </w:rPr>
          <w:t>here</w:t>
        </w:r>
      </w:hyperlink>
      <w:r w:rsidR="00C62C2B" w:rsidRPr="00C62C2B">
        <w:rPr>
          <w:lang w:val="en-GB"/>
        </w:rPr>
        <w:t>. </w:t>
      </w:r>
    </w:p>
  </w:footnote>
  <w:footnote w:id="2">
    <w:p w14:paraId="52C9F4D8" w14:textId="77777777" w:rsidR="00AD63B1" w:rsidRPr="00AF6756" w:rsidRDefault="00AD63B1" w:rsidP="00792295">
      <w:pPr>
        <w:pStyle w:val="FootnoteRoLReport"/>
      </w:pPr>
      <w:r w:rsidRPr="00AF6756">
        <w:rPr>
          <w:rStyle w:val="FootnoteReference"/>
        </w:rPr>
        <w:footnoteRef/>
      </w:r>
      <w:r>
        <w:tab/>
      </w:r>
      <w:r w:rsidRPr="00AF6756">
        <w:t>Figures 48 and 50, 2026 EU Justice Scoreboard and Figures 51 and 53, 2024 EU Justice Scoreboard.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28C2E9F2" w14:textId="77777777" w:rsidR="00AD63B1" w:rsidRPr="00997944" w:rsidRDefault="00AD63B1" w:rsidP="00792295">
      <w:pPr>
        <w:pStyle w:val="FootnoteRoLReport"/>
      </w:pPr>
      <w:r>
        <w:rPr>
          <w:rStyle w:val="FootnoteReference"/>
        </w:rPr>
        <w:footnoteRef/>
      </w:r>
      <w:r>
        <w:t xml:space="preserve"> </w:t>
      </w:r>
      <w:r>
        <w:tab/>
      </w:r>
      <w:r w:rsidRPr="00F5006A">
        <w:rPr>
          <w:iCs/>
        </w:rPr>
        <w:t>Organic Law no. 2023</w:t>
      </w:r>
      <w:r w:rsidRPr="00997944">
        <w:rPr>
          <w:iCs/>
        </w:rPr>
        <w:t>-1058 of 20 November 2023 on the open</w:t>
      </w:r>
      <w:r>
        <w:rPr>
          <w:iCs/>
        </w:rPr>
        <w:t>ing</w:t>
      </w:r>
      <w:r w:rsidRPr="00997944">
        <w:rPr>
          <w:iCs/>
        </w:rPr>
        <w:t>, modernisation and accountability of the judiciary</w:t>
      </w:r>
      <w:r>
        <w:t>,</w:t>
      </w:r>
      <w:r w:rsidRPr="00997944">
        <w:t xml:space="preserve"> </w:t>
      </w:r>
      <w:r w:rsidRPr="00F61DA8">
        <w:t xml:space="preserve">adopted in November 2023. See </w:t>
      </w:r>
      <w:r>
        <w:t>2025, 2024, 2023</w:t>
      </w:r>
      <w:r w:rsidRPr="00F61DA8">
        <w:t xml:space="preserve"> Rule of Law Reports, chapters on France</w:t>
      </w:r>
      <w:r>
        <w:t>, resp. pp. 3, 4, 4</w:t>
      </w:r>
      <w:r w:rsidRPr="00F61DA8">
        <w:t>.</w:t>
      </w:r>
    </w:p>
  </w:footnote>
  <w:footnote w:id="4">
    <w:p w14:paraId="5895BCD5" w14:textId="2BEA17FE" w:rsidR="00AD63B1" w:rsidRPr="00FA1B9D" w:rsidRDefault="00AD63B1" w:rsidP="00792295">
      <w:pPr>
        <w:pStyle w:val="FootnoteRoLReport"/>
        <w:rPr>
          <w:lang w:val="en-IE"/>
        </w:rPr>
      </w:pPr>
      <w:r w:rsidRPr="00997944">
        <w:rPr>
          <w:rStyle w:val="FootnoteReference"/>
        </w:rPr>
        <w:footnoteRef/>
      </w:r>
      <w:r w:rsidRPr="00997944">
        <w:t xml:space="preserve"> </w:t>
      </w:r>
      <w:r w:rsidRPr="00997944">
        <w:tab/>
        <w:t>Country visit France, Magistrates’ Associations.</w:t>
      </w:r>
    </w:p>
  </w:footnote>
  <w:footnote w:id="5">
    <w:p w14:paraId="037A2202" w14:textId="4EA729EA" w:rsidR="00AD63B1" w:rsidRPr="00BA3CC1" w:rsidRDefault="00AD63B1" w:rsidP="00792295">
      <w:pPr>
        <w:pStyle w:val="FootnoteRoLReport"/>
      </w:pPr>
      <w:r w:rsidRPr="48FACCB2">
        <w:rPr>
          <w:rStyle w:val="FootnoteReference"/>
        </w:rPr>
        <w:footnoteRef/>
      </w:r>
      <w:r w:rsidRPr="48FACCB2">
        <w:t xml:space="preserve"> </w:t>
      </w:r>
      <w:r>
        <w:tab/>
        <w:t>Composed of 12 magistrates and 1 representative of the Ministry of Justice.</w:t>
      </w:r>
    </w:p>
  </w:footnote>
  <w:footnote w:id="6">
    <w:p w14:paraId="7F77460B" w14:textId="77777777" w:rsidR="00AD63B1" w:rsidRPr="000B1873" w:rsidRDefault="00AD63B1" w:rsidP="00792295">
      <w:pPr>
        <w:pStyle w:val="FootnoteRoLReport"/>
      </w:pPr>
      <w:r w:rsidRPr="48FACCB2">
        <w:rPr>
          <w:rStyle w:val="FootnoteReference"/>
        </w:rPr>
        <w:footnoteRef/>
      </w:r>
      <w:r w:rsidRPr="48FACCB2">
        <w:t xml:space="preserve"> </w:t>
      </w:r>
      <w:r>
        <w:tab/>
      </w:r>
      <w:r w:rsidRPr="48FACCB2">
        <w:t xml:space="preserve">The use of the concept “exceptional professional value” </w:t>
      </w:r>
      <w:r>
        <w:t>was questioned both by the HCJ and MEDEL</w:t>
      </w:r>
      <w:r w:rsidRPr="48FACCB2">
        <w:t>.</w:t>
      </w:r>
      <w:r>
        <w:t xml:space="preserve"> </w:t>
      </w:r>
      <w:r w:rsidRPr="48FACCB2">
        <w:t>Medel (2026) written input, p. 9.</w:t>
      </w:r>
      <w:r>
        <w:t xml:space="preserve"> HCJ (2026) Annual Report 2025, p. 45.</w:t>
      </w:r>
    </w:p>
  </w:footnote>
  <w:footnote w:id="7">
    <w:p w14:paraId="1DC7115B" w14:textId="77777777" w:rsidR="00AD63B1" w:rsidRPr="00B92C61" w:rsidRDefault="00AD63B1" w:rsidP="00792295">
      <w:pPr>
        <w:pStyle w:val="FootnoteRoLReport"/>
      </w:pPr>
      <w:r w:rsidRPr="48FACCB2">
        <w:rPr>
          <w:rStyle w:val="FootnoteReference"/>
        </w:rPr>
        <w:footnoteRef/>
      </w:r>
      <w:r w:rsidRPr="48FACCB2">
        <w:t xml:space="preserve">  </w:t>
      </w:r>
      <w:r>
        <w:tab/>
      </w:r>
      <w:r w:rsidRPr="48FACCB2">
        <w:t>French Government (2026), written input</w:t>
      </w:r>
      <w:r>
        <w:t>,</w:t>
      </w:r>
      <w:r w:rsidRPr="48FACCB2">
        <w:t xml:space="preserve"> pp. 7-9.</w:t>
      </w:r>
    </w:p>
  </w:footnote>
  <w:footnote w:id="8">
    <w:p w14:paraId="78F17F2F" w14:textId="7DFFCA26" w:rsidR="00AD63B1" w:rsidRPr="00E10A8D" w:rsidRDefault="00AD63B1" w:rsidP="00792295">
      <w:pPr>
        <w:pStyle w:val="FootnoteRoLReport"/>
      </w:pPr>
      <w:r w:rsidRPr="48FACCB2">
        <w:rPr>
          <w:rStyle w:val="FootnoteReference"/>
        </w:rPr>
        <w:footnoteRef/>
      </w:r>
      <w:r>
        <w:t xml:space="preserve"> </w:t>
      </w:r>
      <w:r>
        <w:tab/>
      </w:r>
      <w:r w:rsidRPr="00E10A8D">
        <w:t xml:space="preserve">On </w:t>
      </w:r>
      <w:r w:rsidRPr="00294F8B">
        <w:t>this</w:t>
      </w:r>
      <w:r w:rsidRPr="00E10A8D">
        <w:t xml:space="preserve"> regime and previous elements mentioned, see also 2025 Rule of Law Report, France, p. 3 and 2024</w:t>
      </w:r>
      <w:r>
        <w:t xml:space="preserve"> </w:t>
      </w:r>
      <w:r w:rsidRPr="00E10A8D">
        <w:t>Rule of Law Report, France, p. 4.</w:t>
      </w:r>
    </w:p>
  </w:footnote>
  <w:footnote w:id="9">
    <w:p w14:paraId="63A937F1" w14:textId="58FB1355" w:rsidR="00AD63B1" w:rsidRPr="00643B7F" w:rsidRDefault="00AD63B1" w:rsidP="00792295">
      <w:pPr>
        <w:pStyle w:val="FootnoteRoLReport"/>
      </w:pPr>
      <w:r w:rsidRPr="48FACCB2">
        <w:rPr>
          <w:rStyle w:val="FootnoteReference"/>
        </w:rPr>
        <w:footnoteRef/>
      </w:r>
      <w:r w:rsidRPr="48FACCB2">
        <w:t xml:space="preserve"> </w:t>
      </w:r>
      <w:r>
        <w:t xml:space="preserve"> </w:t>
      </w:r>
      <w:r>
        <w:tab/>
      </w:r>
      <w:r w:rsidRPr="00293A79">
        <w:rPr>
          <w:lang w:val="en-IE"/>
        </w:rPr>
        <w:t xml:space="preserve">National Bar Association (2026), written input, p. 5. </w:t>
      </w:r>
      <w:r w:rsidRPr="000B1873">
        <w:t>391 decisions were taken in 2025 and 446 in 2024.</w:t>
      </w:r>
      <w:r>
        <w:t xml:space="preserve"> HCJ (2026), p. 72.</w:t>
      </w:r>
    </w:p>
  </w:footnote>
  <w:footnote w:id="10">
    <w:p w14:paraId="6DD3FAC8" w14:textId="27C6C32C" w:rsidR="00AD63B1" w:rsidRPr="00775953" w:rsidRDefault="00AD63B1" w:rsidP="00792295">
      <w:pPr>
        <w:pStyle w:val="FootnoteRoLReport"/>
      </w:pPr>
      <w:r w:rsidRPr="48FACCB2">
        <w:rPr>
          <w:rStyle w:val="FootnoteReference"/>
        </w:rPr>
        <w:footnoteRef/>
      </w:r>
      <w:r w:rsidRPr="48FACCB2">
        <w:t xml:space="preserve"> </w:t>
      </w:r>
      <w:r>
        <w:t xml:space="preserve"> </w:t>
      </w:r>
      <w:r>
        <w:tab/>
      </w:r>
      <w:r w:rsidRPr="00775953">
        <w:t xml:space="preserve">This reform was adopted by </w:t>
      </w:r>
      <w:r>
        <w:t xml:space="preserve">both chambers of </w:t>
      </w:r>
      <w:r w:rsidRPr="00775953">
        <w:t>Parliament in 2016</w:t>
      </w:r>
      <w:r>
        <w:t>. However</w:t>
      </w:r>
      <w:r w:rsidRPr="00775953">
        <w:t xml:space="preserve">, it needs approval by 2/3 of </w:t>
      </w:r>
      <w:r>
        <w:t>deputies</w:t>
      </w:r>
      <w:r w:rsidRPr="00775953">
        <w:t xml:space="preserve"> </w:t>
      </w:r>
      <w:r>
        <w:t xml:space="preserve">of both chambers. </w:t>
      </w:r>
      <w:r w:rsidRPr="00775953">
        <w:t xml:space="preserve">The </w:t>
      </w:r>
      <w:r>
        <w:t>HCJ, m</w:t>
      </w:r>
      <w:r w:rsidRPr="00775953">
        <w:t xml:space="preserve">agistrates’ and the </w:t>
      </w:r>
      <w:r>
        <w:t>b</w:t>
      </w:r>
      <w:r w:rsidRPr="00775953">
        <w:t xml:space="preserve">ar </w:t>
      </w:r>
      <w:r>
        <w:t>a</w:t>
      </w:r>
      <w:r w:rsidRPr="00775953">
        <w:t>ssociation</w:t>
      </w:r>
      <w:r>
        <w:t xml:space="preserve"> welcomed this reform</w:t>
      </w:r>
      <w:r w:rsidRPr="00775953">
        <w:t>. Country visit France</w:t>
      </w:r>
      <w:r>
        <w:t>, Magistrates’ Associations.</w:t>
      </w:r>
    </w:p>
  </w:footnote>
  <w:footnote w:id="11">
    <w:p w14:paraId="7848A983" w14:textId="61706ED6" w:rsidR="00AD63B1" w:rsidRPr="00BB3218" w:rsidRDefault="00AD63B1" w:rsidP="00792295">
      <w:pPr>
        <w:pStyle w:val="FootnoteRoLReport"/>
      </w:pPr>
      <w:r>
        <w:rPr>
          <w:rStyle w:val="FootnoteReference"/>
        </w:rPr>
        <w:footnoteRef/>
      </w:r>
      <w:r>
        <w:t xml:space="preserve"> </w:t>
      </w:r>
      <w:r>
        <w:tab/>
      </w:r>
      <w:r w:rsidRPr="00BB3218">
        <w:t xml:space="preserve">HCJ (2026). This reform is also supported by Magistrates’ and Bar Associations. Country visit France, </w:t>
      </w:r>
      <w:r w:rsidRPr="00BB3218">
        <w:rPr>
          <w:lang w:val="en-IE"/>
        </w:rPr>
        <w:t>Magistrates’ Associations.</w:t>
      </w:r>
      <w:r w:rsidRPr="00BB3218">
        <w:t xml:space="preserve"> National Bar Association (2026), written input, p. 4.</w:t>
      </w:r>
    </w:p>
  </w:footnote>
  <w:footnote w:id="12">
    <w:p w14:paraId="169C054C" w14:textId="3158EE8C" w:rsidR="00AD63B1" w:rsidRPr="00BB3218" w:rsidRDefault="00AD63B1" w:rsidP="00792295">
      <w:pPr>
        <w:pStyle w:val="FootnoteRoLReport"/>
      </w:pPr>
      <w:r w:rsidRPr="00BB3218">
        <w:rPr>
          <w:rStyle w:val="FootnoteReference"/>
        </w:rPr>
        <w:footnoteRef/>
      </w:r>
      <w:r w:rsidRPr="00BB3218">
        <w:tab/>
      </w:r>
      <w:r w:rsidRPr="009D0BA7">
        <w:t>Communications from the CNCDH of 2 April 2026, from the Magistrates’ Union (USM) of 26 September and 1</w:t>
      </w:r>
      <w:r w:rsidR="009D0BA7" w:rsidRPr="00FA1B9D">
        <w:t>6</w:t>
      </w:r>
      <w:r w:rsidRPr="009D0BA7">
        <w:t xml:space="preserve"> December 2025.</w:t>
      </w:r>
      <w:r w:rsidRPr="00BB3218">
        <w:t xml:space="preserve"> Country visit France, Magistrates’ Associations, State Council, Constitutional Council. ENCJ (2026), written input, p. 24. Liberties (2026). HCJ (2026), pp. 11-13.</w:t>
      </w:r>
    </w:p>
  </w:footnote>
  <w:footnote w:id="13">
    <w:p w14:paraId="7A83EE13" w14:textId="37852DDA" w:rsidR="00AD63B1" w:rsidRPr="00BB3218" w:rsidRDefault="00AD63B1" w:rsidP="00792295">
      <w:pPr>
        <w:pStyle w:val="FootnoteRoLReport"/>
      </w:pPr>
      <w:r w:rsidRPr="00BB3218">
        <w:rPr>
          <w:rStyle w:val="FootnoteReference"/>
        </w:rPr>
        <w:footnoteRef/>
      </w:r>
      <w:r w:rsidRPr="00BB3218">
        <w:t xml:space="preserve"> </w:t>
      </w:r>
      <w:r w:rsidRPr="00BB3218">
        <w:tab/>
        <w:t xml:space="preserve">National Bar Association (2026), written input, pp. 23-24. The response from public authorities would have been particularly weak according to </w:t>
      </w:r>
      <w:r w:rsidRPr="00E23FC9">
        <w:t>ENNHRI (2026)</w:t>
      </w:r>
      <w:r w:rsidR="00DC1AB5">
        <w:t>, p. 10</w:t>
      </w:r>
      <w:r w:rsidRPr="00E23FC9">
        <w:t xml:space="preserve"> and</w:t>
      </w:r>
      <w:r w:rsidRPr="00BB3218">
        <w:t xml:space="preserve"> EAJ (2026), p. 16.</w:t>
      </w:r>
    </w:p>
  </w:footnote>
  <w:footnote w:id="14">
    <w:p w14:paraId="32515B52" w14:textId="3BC42C6E" w:rsidR="00AD63B1" w:rsidRPr="00BB3218" w:rsidRDefault="00AD63B1" w:rsidP="00792295">
      <w:pPr>
        <w:pStyle w:val="FootnoteRoLReport"/>
      </w:pPr>
      <w:r w:rsidRPr="007806EC">
        <w:rPr>
          <w:rStyle w:val="FootnoteReference"/>
        </w:rPr>
        <w:footnoteRef/>
      </w:r>
      <w:r w:rsidRPr="007806EC">
        <w:t xml:space="preserve"> </w:t>
      </w:r>
      <w:r w:rsidRPr="007806EC">
        <w:tab/>
        <w:t>French Government (2026b)</w:t>
      </w:r>
      <w:r w:rsidR="007806EC" w:rsidRPr="00FA1B9D">
        <w:t>, p. 2</w:t>
      </w:r>
      <w:r w:rsidRPr="007806EC">
        <w:t>.</w:t>
      </w:r>
      <w:r w:rsidRPr="00BB3218">
        <w:t xml:space="preserve"> By 1 December 2025, 489 magistrates </w:t>
      </w:r>
      <w:r w:rsidR="00084EC5">
        <w:t>and</w:t>
      </w:r>
      <w:r w:rsidRPr="00BB3218">
        <w:t xml:space="preserve"> 571 clerks</w:t>
      </w:r>
      <w:r w:rsidR="00C02736">
        <w:t xml:space="preserve"> were appointed in court</w:t>
      </w:r>
      <w:r w:rsidRPr="00BB3218">
        <w:t xml:space="preserve"> and all of the planed 1 100 judicial assistants were recruited. The 2026 budget of the Ministry of Justice plans the recruitment of 617 magistrates, 576 clerks and 32 judicial assistants. </w:t>
      </w:r>
    </w:p>
  </w:footnote>
  <w:footnote w:id="15">
    <w:p w14:paraId="76291B8C" w14:textId="77777777" w:rsidR="00AD63B1" w:rsidRPr="000D5001" w:rsidRDefault="00AD63B1" w:rsidP="00792295">
      <w:pPr>
        <w:pStyle w:val="FootnoteRoLReport"/>
      </w:pPr>
      <w:r w:rsidRPr="00BB3218">
        <w:rPr>
          <w:rStyle w:val="FootnoteReference"/>
        </w:rPr>
        <w:footnoteRef/>
      </w:r>
      <w:r w:rsidRPr="00BB3218">
        <w:t xml:space="preserve"> </w:t>
      </w:r>
      <w:r w:rsidRPr="00BB3218">
        <w:tab/>
        <w:t>Regulation n° 2025-659 of 18 July</w:t>
      </w:r>
      <w:r w:rsidRPr="48FACCB2">
        <w:t xml:space="preserve"> 2025.</w:t>
      </w:r>
    </w:p>
  </w:footnote>
  <w:footnote w:id="16">
    <w:p w14:paraId="2212C3FF" w14:textId="77777777" w:rsidR="00AD63B1" w:rsidRPr="00AF6955" w:rsidRDefault="00AD63B1" w:rsidP="00792295">
      <w:pPr>
        <w:pStyle w:val="FootnoteRoLReport"/>
      </w:pPr>
      <w:r w:rsidRPr="48FACCB2">
        <w:rPr>
          <w:rStyle w:val="FootnoteReference"/>
        </w:rPr>
        <w:footnoteRef/>
      </w:r>
      <w:r w:rsidRPr="48FACCB2">
        <w:t xml:space="preserve"> </w:t>
      </w:r>
      <w:r>
        <w:tab/>
        <w:t xml:space="preserve">While </w:t>
      </w:r>
      <w:r w:rsidRPr="48FACCB2">
        <w:t xml:space="preserve">118 trainees </w:t>
      </w:r>
      <w:r>
        <w:t>became</w:t>
      </w:r>
      <w:r w:rsidRPr="48FACCB2">
        <w:t xml:space="preserve"> magistrates in 2010 </w:t>
      </w:r>
      <w:r>
        <w:t xml:space="preserve">the number rose to </w:t>
      </w:r>
      <w:r w:rsidRPr="48FACCB2">
        <w:t>470 in 2025.</w:t>
      </w:r>
    </w:p>
  </w:footnote>
  <w:footnote w:id="17">
    <w:p w14:paraId="44F5C41C" w14:textId="56223549" w:rsidR="00AD63B1" w:rsidRPr="00283DC1" w:rsidRDefault="00AD63B1" w:rsidP="00792295">
      <w:pPr>
        <w:pStyle w:val="FootnoteRoLReport"/>
      </w:pPr>
      <w:r w:rsidRPr="48FACCB2">
        <w:rPr>
          <w:rStyle w:val="FootnoteReference"/>
        </w:rPr>
        <w:footnoteRef/>
      </w:r>
      <w:r w:rsidRPr="48FACCB2">
        <w:t xml:space="preserve"> </w:t>
      </w:r>
      <w:r>
        <w:tab/>
      </w:r>
      <w:r w:rsidRPr="00283DC1">
        <w:t>Country visit France, Defender of Rights</w:t>
      </w:r>
      <w:r w:rsidRPr="000C224E">
        <w:t>. Defender of Rights (2026c)</w:t>
      </w:r>
      <w:r w:rsidR="000D5942" w:rsidRPr="000C224E">
        <w:t>, p.</w:t>
      </w:r>
      <w:r w:rsidR="000D5942">
        <w:t xml:space="preserve"> </w:t>
      </w:r>
      <w:r w:rsidR="000C224E">
        <w:t>57</w:t>
      </w:r>
      <w:r w:rsidRPr="009723EC">
        <w:t>.</w:t>
      </w:r>
      <w:r w:rsidRPr="00283DC1">
        <w:t xml:space="preserve"> </w:t>
      </w:r>
      <w:r w:rsidRPr="009723EC">
        <w:t>Fig</w:t>
      </w:r>
      <w:r w:rsidR="00BB261B">
        <w:t>ure</w:t>
      </w:r>
      <w:r w:rsidRPr="009723EC">
        <w:t xml:space="preserve"> 36, 2026 EU Justice Scoreboard</w:t>
      </w:r>
      <w:r>
        <w:t>.</w:t>
      </w:r>
    </w:p>
  </w:footnote>
  <w:footnote w:id="18">
    <w:p w14:paraId="23714209" w14:textId="0853A9D0" w:rsidR="00AD63B1" w:rsidRPr="003F3994" w:rsidRDefault="00AD63B1" w:rsidP="00792295">
      <w:pPr>
        <w:pStyle w:val="FootnoteRoLReport"/>
      </w:pPr>
      <w:r w:rsidRPr="48FACCB2">
        <w:rPr>
          <w:rStyle w:val="FootnoteReference"/>
        </w:rPr>
        <w:footnoteRef/>
      </w:r>
      <w:r w:rsidRPr="48FACCB2">
        <w:t xml:space="preserve"> </w:t>
      </w:r>
      <w:r>
        <w:tab/>
      </w:r>
      <w:r w:rsidRPr="48FACCB2">
        <w:t>Supported by the EU Technical Support Instrument</w:t>
      </w:r>
      <w:r>
        <w:t xml:space="preserve"> The study allowed to develop a</w:t>
      </w:r>
      <w:r w:rsidRPr="00E2216F">
        <w:t> caseload-driven</w:t>
      </w:r>
      <w:r>
        <w:t xml:space="preserve"> m</w:t>
      </w:r>
      <w:r w:rsidRPr="00E2216F">
        <w:t>ethodology for allocating resources</w:t>
      </w:r>
      <w:r>
        <w:t xml:space="preserve"> in the judiciary</w:t>
      </w:r>
      <w:r w:rsidRPr="00E2216F">
        <w:t>.</w:t>
      </w:r>
    </w:p>
  </w:footnote>
  <w:footnote w:id="19">
    <w:p w14:paraId="4AFF2145" w14:textId="100EA7F9" w:rsidR="00AD63B1" w:rsidRPr="0017512B" w:rsidRDefault="00AD63B1" w:rsidP="00792295">
      <w:pPr>
        <w:pStyle w:val="FootnoteRoLReport"/>
        <w:rPr>
          <w:lang w:eastAsia="fr-FR"/>
        </w:rPr>
      </w:pPr>
      <w:r w:rsidRPr="48FACCB2">
        <w:rPr>
          <w:rStyle w:val="FootnoteReference"/>
        </w:rPr>
        <w:footnoteRef/>
      </w:r>
      <w:r w:rsidRPr="48FACCB2">
        <w:t xml:space="preserve"> </w:t>
      </w:r>
      <w:r>
        <w:tab/>
      </w:r>
      <w:r w:rsidRPr="48FACCB2">
        <w:t>Magistrates’ associations critici</w:t>
      </w:r>
      <w:r>
        <w:t>s</w:t>
      </w:r>
      <w:r w:rsidRPr="48FACCB2">
        <w:t>e</w:t>
      </w:r>
      <w:r>
        <w:t>d</w:t>
      </w:r>
      <w:r w:rsidRPr="48FACCB2">
        <w:t xml:space="preserve"> the discrepancy between the results of this study and the previous assessment done by the Ministry of Justice in cooperation with magistrates (</w:t>
      </w:r>
      <w:r>
        <w:rPr>
          <w:lang w:eastAsia="fr-FR"/>
        </w:rPr>
        <w:t>t</w:t>
      </w:r>
      <w:r w:rsidRPr="48FACCB2">
        <w:rPr>
          <w:lang w:eastAsia="fr-FR"/>
        </w:rPr>
        <w:t>he conclusions of this 10-year</w:t>
      </w:r>
      <w:r w:rsidR="00C427F0">
        <w:rPr>
          <w:lang w:eastAsia="fr-FR"/>
        </w:rPr>
        <w:t xml:space="preserve"> </w:t>
      </w:r>
      <w:r w:rsidRPr="48FACCB2">
        <w:rPr>
          <w:lang w:eastAsia="fr-FR"/>
        </w:rPr>
        <w:t xml:space="preserve">project have not </w:t>
      </w:r>
      <w:r>
        <w:rPr>
          <w:lang w:eastAsia="fr-FR"/>
        </w:rPr>
        <w:t xml:space="preserve">yet </w:t>
      </w:r>
      <w:r w:rsidRPr="48FACCB2">
        <w:rPr>
          <w:lang w:eastAsia="fr-FR"/>
        </w:rPr>
        <w:t>been made public).</w:t>
      </w:r>
    </w:p>
  </w:footnote>
  <w:footnote w:id="20">
    <w:p w14:paraId="38AC3147" w14:textId="387AA01B" w:rsidR="00AD63B1" w:rsidRPr="009723EC" w:rsidRDefault="00AD63B1" w:rsidP="00792295">
      <w:pPr>
        <w:pStyle w:val="FootnoteRoLReport"/>
      </w:pPr>
      <w:r>
        <w:rPr>
          <w:rStyle w:val="FootnoteReference"/>
        </w:rPr>
        <w:footnoteRef/>
      </w:r>
      <w:r>
        <w:t xml:space="preserve"> </w:t>
      </w:r>
      <w:r w:rsidRPr="009723EC">
        <w:rPr>
          <w:lang w:val="en-IE"/>
        </w:rPr>
        <w:tab/>
      </w:r>
      <w:r>
        <w:t xml:space="preserve">The 2025 Rule of Law Report recommended </w:t>
      </w:r>
      <w:r w:rsidR="00BB261B">
        <w:t xml:space="preserve">to </w:t>
      </w:r>
      <w:r>
        <w:t>France to “s</w:t>
      </w:r>
      <w:r w:rsidRPr="00AB1601">
        <w:t>tep up efforts to complete ongoing projects aimed at full digitalisation of civil and criminal court proceedings</w:t>
      </w:r>
      <w:r>
        <w:t>”</w:t>
      </w:r>
      <w:r w:rsidRPr="00AB1601">
        <w:t>.</w:t>
      </w:r>
      <w:r>
        <w:t xml:space="preserve"> </w:t>
      </w:r>
      <w:r w:rsidRPr="00230D53">
        <w:t xml:space="preserve">Some progress was previously assessed on this recommendation in </w:t>
      </w:r>
      <w:r w:rsidRPr="00152D67">
        <w:t>2</w:t>
      </w:r>
      <w:r w:rsidRPr="009723EC">
        <w:t>025, 2024</w:t>
      </w:r>
      <w:r w:rsidRPr="00152D67">
        <w:t xml:space="preserve"> and </w:t>
      </w:r>
      <w:r w:rsidRPr="009723EC">
        <w:t>2023</w:t>
      </w:r>
      <w:r w:rsidRPr="00230D53">
        <w:t>.</w:t>
      </w:r>
    </w:p>
  </w:footnote>
  <w:footnote w:id="21">
    <w:p w14:paraId="40EB4922" w14:textId="77777777" w:rsidR="00AD63B1" w:rsidRPr="003D5D1B" w:rsidRDefault="00AD63B1" w:rsidP="00792295">
      <w:pPr>
        <w:pStyle w:val="FootnoteRoLReport"/>
      </w:pPr>
      <w:r>
        <w:rPr>
          <w:rStyle w:val="FootnoteReference"/>
        </w:rPr>
        <w:footnoteRef/>
      </w:r>
      <w:r>
        <w:t xml:space="preserve"> </w:t>
      </w:r>
      <w:r>
        <w:tab/>
        <w:t>Civil courts for cases valued under EUR 10 000.</w:t>
      </w:r>
    </w:p>
  </w:footnote>
  <w:footnote w:id="22">
    <w:p w14:paraId="1D617D1D" w14:textId="77777777" w:rsidR="00AD63B1" w:rsidRPr="00381B3B" w:rsidRDefault="00AD63B1" w:rsidP="00792295">
      <w:pPr>
        <w:pStyle w:val="FootnoteRoLReport"/>
      </w:pPr>
      <w:r>
        <w:rPr>
          <w:rStyle w:val="FootnoteReference"/>
        </w:rPr>
        <w:footnoteRef/>
      </w:r>
      <w:r>
        <w:t xml:space="preserve">  </w:t>
      </w:r>
      <w:r>
        <w:tab/>
        <w:t>EAJ (2026), written input, p. 31.</w:t>
      </w:r>
    </w:p>
  </w:footnote>
  <w:footnote w:id="23">
    <w:p w14:paraId="40097A42" w14:textId="77777777" w:rsidR="00AD63B1" w:rsidRPr="003D284E" w:rsidRDefault="00AD63B1" w:rsidP="00792295">
      <w:pPr>
        <w:pStyle w:val="FootnoteRoLReport"/>
      </w:pPr>
      <w:r>
        <w:rPr>
          <w:rStyle w:val="FootnoteReference"/>
        </w:rPr>
        <w:footnoteRef/>
      </w:r>
      <w:r>
        <w:t xml:space="preserve"> </w:t>
      </w:r>
      <w:r w:rsidRPr="003D284E">
        <w:tab/>
      </w:r>
      <w:r w:rsidRPr="00282631">
        <w:t>French Government (2026), written input, p</w:t>
      </w:r>
      <w:r>
        <w:t>p. 2-5.</w:t>
      </w:r>
    </w:p>
  </w:footnote>
  <w:footnote w:id="24">
    <w:p w14:paraId="46A3FCB5" w14:textId="77777777" w:rsidR="00AD63B1" w:rsidRPr="00E71352" w:rsidRDefault="00AD63B1" w:rsidP="00792295">
      <w:pPr>
        <w:pStyle w:val="FootnoteRoLReport"/>
      </w:pPr>
      <w:r>
        <w:rPr>
          <w:rStyle w:val="FootnoteReference"/>
        </w:rPr>
        <w:footnoteRef/>
      </w:r>
      <w:r>
        <w:t xml:space="preserve"> </w:t>
      </w:r>
      <w:r w:rsidRPr="00E71352">
        <w:tab/>
        <w:t>National Bar Association (2026), writt</w:t>
      </w:r>
      <w:r>
        <w:t>en input, p. 4.</w:t>
      </w:r>
    </w:p>
  </w:footnote>
  <w:footnote w:id="25">
    <w:p w14:paraId="1C229794" w14:textId="77777777" w:rsidR="00AD63B1" w:rsidRPr="009723EC" w:rsidRDefault="00AD63B1" w:rsidP="00792295">
      <w:pPr>
        <w:pStyle w:val="FootnoteRoLReport"/>
      </w:pPr>
      <w:r>
        <w:rPr>
          <w:rStyle w:val="FootnoteReference"/>
        </w:rPr>
        <w:footnoteRef/>
      </w:r>
      <w:r>
        <w:t xml:space="preserve"> </w:t>
      </w:r>
      <w:r w:rsidRPr="009723EC">
        <w:tab/>
      </w:r>
      <w:r>
        <w:t>Project on the “</w:t>
      </w:r>
      <w:r w:rsidRPr="007C2A5C">
        <w:t>Automation of Routine Tasks in Judicial Proceedings (ARTJP)</w:t>
      </w:r>
      <w:r>
        <w:t>”, started in October 2025.</w:t>
      </w:r>
    </w:p>
  </w:footnote>
  <w:footnote w:id="26">
    <w:p w14:paraId="761DCAD9" w14:textId="398D5808" w:rsidR="00AD63B1" w:rsidRPr="00104592" w:rsidRDefault="00AD63B1" w:rsidP="00792295">
      <w:pPr>
        <w:pStyle w:val="FootnoteRoLReport"/>
      </w:pPr>
      <w:r>
        <w:rPr>
          <w:rStyle w:val="FootnoteReference"/>
        </w:rPr>
        <w:footnoteRef/>
      </w:r>
      <w:r>
        <w:t xml:space="preserve"> </w:t>
      </w:r>
      <w:r>
        <w:tab/>
        <w:t xml:space="preserve">Figures 41, </w:t>
      </w:r>
      <w:r w:rsidR="00347409">
        <w:t>42</w:t>
      </w:r>
      <w:r>
        <w:t xml:space="preserve"> and 43, 2026 EU Justice Scoreboard.</w:t>
      </w:r>
    </w:p>
  </w:footnote>
  <w:footnote w:id="27">
    <w:p w14:paraId="6FFBEEF9" w14:textId="77777777" w:rsidR="00AD63B1" w:rsidRPr="00305B71" w:rsidRDefault="00AD63B1" w:rsidP="00792295">
      <w:pPr>
        <w:pStyle w:val="FootnoteRoLReport"/>
        <w:rPr>
          <w:lang w:val="en-IE"/>
        </w:rPr>
      </w:pPr>
      <w:r w:rsidRPr="48FACCB2">
        <w:rPr>
          <w:rStyle w:val="FootnoteReference"/>
        </w:rPr>
        <w:footnoteRef/>
      </w:r>
      <w:r w:rsidRPr="00305B71">
        <w:rPr>
          <w:lang w:val="en-IE"/>
        </w:rPr>
        <w:t xml:space="preserve"> </w:t>
      </w:r>
      <w:r>
        <w:rPr>
          <w:lang w:val="en-IE"/>
        </w:rPr>
        <w:tab/>
      </w:r>
      <w:r w:rsidRPr="005B4B38">
        <w:t>Article</w:t>
      </w:r>
      <w:r w:rsidRPr="00305B71">
        <w:rPr>
          <w:lang w:val="en-IE"/>
        </w:rPr>
        <w:t xml:space="preserve"> 126.</w:t>
      </w:r>
    </w:p>
  </w:footnote>
  <w:footnote w:id="28">
    <w:p w14:paraId="2F0BC84F" w14:textId="317FBE71" w:rsidR="00AD63B1" w:rsidRPr="00073D65" w:rsidRDefault="00AD63B1" w:rsidP="00792295">
      <w:pPr>
        <w:pStyle w:val="FootnoteRoLReport"/>
      </w:pPr>
      <w:r w:rsidRPr="48FACCB2">
        <w:rPr>
          <w:rStyle w:val="FootnoteReference"/>
        </w:rPr>
        <w:footnoteRef/>
      </w:r>
      <w:r w:rsidRPr="48FACCB2">
        <w:t xml:space="preserve"> </w:t>
      </w:r>
      <w:r>
        <w:tab/>
      </w:r>
      <w:r w:rsidRPr="48FACCB2">
        <w:t>12 economic affairs courts replaced 12 commercial courts on 1</w:t>
      </w:r>
      <w:r w:rsidRPr="48FACCB2">
        <w:rPr>
          <w:vertAlign w:val="superscript"/>
        </w:rPr>
        <w:t xml:space="preserve"> </w:t>
      </w:r>
      <w:r w:rsidRPr="48FACCB2">
        <w:t xml:space="preserve">January 2025. This </w:t>
      </w:r>
      <w:r>
        <w:t>pilot</w:t>
      </w:r>
      <w:r w:rsidRPr="48FACCB2">
        <w:t xml:space="preserve"> will last until 31</w:t>
      </w:r>
      <w:r>
        <w:t xml:space="preserve"> </w:t>
      </w:r>
      <w:r w:rsidRPr="48FACCB2">
        <w:t>December 2028.</w:t>
      </w:r>
    </w:p>
  </w:footnote>
  <w:footnote w:id="29">
    <w:p w14:paraId="7210504B" w14:textId="1C0A3FBC" w:rsidR="00AD63B1" w:rsidRPr="006E615C" w:rsidRDefault="00AD63B1" w:rsidP="00792295">
      <w:pPr>
        <w:pStyle w:val="FootnoteRoLReport"/>
      </w:pPr>
      <w:r w:rsidRPr="48FACCB2">
        <w:rPr>
          <w:rStyle w:val="FootnoteReference"/>
        </w:rPr>
        <w:footnoteRef/>
      </w:r>
      <w:r w:rsidRPr="00BC158E">
        <w:t xml:space="preserve"> </w:t>
      </w:r>
      <w:r w:rsidR="00EB50AD">
        <w:t xml:space="preserve"> </w:t>
      </w:r>
      <w:r w:rsidRPr="009723EC">
        <w:t>Decision</w:t>
      </w:r>
      <w:r w:rsidRPr="00BC158E">
        <w:t xml:space="preserve"> n° 2025-1184 QPC</w:t>
      </w:r>
      <w:r w:rsidRPr="00982BF8">
        <w:t>,</w:t>
      </w:r>
      <w:r w:rsidRPr="00BC158E">
        <w:t xml:space="preserve"> 6 </w:t>
      </w:r>
      <w:r w:rsidRPr="00982BF8">
        <w:t>March</w:t>
      </w:r>
      <w:r w:rsidRPr="00BC158E">
        <w:t xml:space="preserve"> 2026. </w:t>
      </w:r>
      <w:r w:rsidRPr="48FACCB2">
        <w:t xml:space="preserve">The judge must assess the proportionality of the contribution </w:t>
      </w:r>
      <w:r w:rsidR="00EB50AD">
        <w:t xml:space="preserve">    </w:t>
      </w:r>
      <w:r w:rsidRPr="48FACCB2">
        <w:t>with regard to the economic situation of the contributor.</w:t>
      </w:r>
    </w:p>
  </w:footnote>
  <w:footnote w:id="30">
    <w:p w14:paraId="76E54607" w14:textId="374F4986" w:rsidR="00AD63B1" w:rsidRPr="00073D65" w:rsidRDefault="00AD63B1" w:rsidP="00792295">
      <w:pPr>
        <w:pStyle w:val="FootnoteRoLReport"/>
        <w:rPr>
          <w:lang w:val="en-IE"/>
        </w:rPr>
      </w:pPr>
      <w:r w:rsidRPr="48FACCB2">
        <w:rPr>
          <w:rStyle w:val="FootnoteReference"/>
        </w:rPr>
        <w:footnoteRef/>
      </w:r>
      <w:r w:rsidRPr="48FACCB2">
        <w:rPr>
          <w:lang w:val="en-IE"/>
        </w:rPr>
        <w:t xml:space="preserve"> </w:t>
      </w:r>
      <w:r w:rsidRPr="00073D65">
        <w:rPr>
          <w:lang w:val="en-IE"/>
        </w:rPr>
        <w:tab/>
      </w:r>
      <w:r w:rsidRPr="48FACCB2">
        <w:rPr>
          <w:lang w:val="en-IE"/>
        </w:rPr>
        <w:t>See also Fig</w:t>
      </w:r>
      <w:r w:rsidR="003E3B33">
        <w:rPr>
          <w:lang w:val="en-IE"/>
        </w:rPr>
        <w:t>ure</w:t>
      </w:r>
      <w:r w:rsidRPr="48FACCB2">
        <w:rPr>
          <w:lang w:val="en-IE"/>
        </w:rPr>
        <w:t xml:space="preserve"> 27, EU Justice Scoreboard.</w:t>
      </w:r>
      <w:r>
        <w:rPr>
          <w:lang w:val="en-IE"/>
        </w:rPr>
        <w:t xml:space="preserve"> </w:t>
      </w:r>
      <w:r>
        <w:t>Decree</w:t>
      </w:r>
      <w:r w:rsidRPr="48FACCB2">
        <w:t xml:space="preserve"> of 18 July 2025</w:t>
      </w:r>
      <w:r>
        <w:t xml:space="preserve"> recasting </w:t>
      </w:r>
      <w:r w:rsidRPr="48FACCB2">
        <w:t>Books I and V of the Code of Civil Procedure</w:t>
      </w:r>
      <w:r>
        <w:t>.</w:t>
      </w:r>
    </w:p>
  </w:footnote>
  <w:footnote w:id="31">
    <w:p w14:paraId="54BC7340" w14:textId="1162E59C" w:rsidR="00AD63B1" w:rsidRPr="00804682" w:rsidRDefault="00AD63B1" w:rsidP="00792295">
      <w:pPr>
        <w:pStyle w:val="FootnoteRoLReport"/>
      </w:pPr>
      <w:r w:rsidRPr="48FACCB2">
        <w:rPr>
          <w:rStyle w:val="FootnoteReference"/>
        </w:rPr>
        <w:footnoteRef/>
      </w:r>
      <w:r w:rsidRPr="00804682">
        <w:t xml:space="preserve"> </w:t>
      </w:r>
      <w:r w:rsidRPr="00804682">
        <w:tab/>
        <w:t xml:space="preserve">Country visit France, </w:t>
      </w:r>
      <w:r>
        <w:t>M</w:t>
      </w:r>
      <w:r w:rsidRPr="00804682">
        <w:t xml:space="preserve">agistrates’ </w:t>
      </w:r>
      <w:r w:rsidR="002647A2">
        <w:t>a</w:t>
      </w:r>
      <w:r w:rsidRPr="00804682">
        <w:t>ssociations</w:t>
      </w:r>
      <w:r>
        <w:t xml:space="preserve"> and </w:t>
      </w:r>
      <w:r w:rsidR="002647A2">
        <w:t>b</w:t>
      </w:r>
      <w:r>
        <w:t xml:space="preserve">usiness </w:t>
      </w:r>
      <w:r w:rsidR="002647A2">
        <w:t>o</w:t>
      </w:r>
      <w:r>
        <w:t>rganisations</w:t>
      </w:r>
      <w:r w:rsidRPr="00804682">
        <w:t xml:space="preserve">. </w:t>
      </w:r>
      <w:r>
        <w:rPr>
          <w:bCs/>
          <w:lang w:eastAsia="fr-FR"/>
        </w:rPr>
        <w:t>See also MEDEL (2026), written input, p. 12. Defender of Rights (2026a), p. 25.</w:t>
      </w:r>
    </w:p>
  </w:footnote>
  <w:footnote w:id="32">
    <w:p w14:paraId="391414E7" w14:textId="3185A9FD" w:rsidR="00885C72" w:rsidRPr="008C1D33" w:rsidRDefault="00885C72">
      <w:pPr>
        <w:pStyle w:val="FootnoteText"/>
        <w:rPr>
          <w:lang w:val="en-IE"/>
        </w:rPr>
      </w:pPr>
      <w:r>
        <w:rPr>
          <w:rStyle w:val="FootnoteReference"/>
        </w:rPr>
        <w:footnoteRef/>
      </w:r>
      <w:r>
        <w:rPr>
          <w:lang w:val="en-US"/>
        </w:rPr>
        <w:t xml:space="preserve">  </w:t>
      </w:r>
      <w:r w:rsidRPr="00F705DD">
        <w:rPr>
          <w:lang w:val="en-US"/>
        </w:rPr>
        <w:t>After the publication of the 2026 EU Justice Scoreboard (based on CEPEJ Study), the figure for 2023 has been revised following a change in national methodology</w:t>
      </w:r>
      <w:r>
        <w:rPr>
          <w:lang w:val="en-US"/>
        </w:rPr>
        <w:t>.</w:t>
      </w:r>
    </w:p>
  </w:footnote>
  <w:footnote w:id="33">
    <w:p w14:paraId="5C9E5011" w14:textId="77777777" w:rsidR="00AD63B1" w:rsidRPr="00595C9B" w:rsidRDefault="00AD63B1" w:rsidP="00792295">
      <w:pPr>
        <w:pStyle w:val="FootnoteRoLReport"/>
      </w:pPr>
      <w:r>
        <w:rPr>
          <w:rStyle w:val="FootnoteReference"/>
        </w:rPr>
        <w:footnoteRef/>
      </w:r>
      <w:r w:rsidRPr="00595C9B">
        <w:t xml:space="preserve"> </w:t>
      </w:r>
      <w:r w:rsidRPr="00595C9B">
        <w:tab/>
        <w:t>Figures 5 and 10, 2026 EU Justice Scoreboard. S</w:t>
      </w:r>
      <w:r>
        <w:t xml:space="preserve">ee also pending cases at the European Court of Human Rights for </w:t>
      </w:r>
      <w:r w:rsidRPr="00595C9B">
        <w:t>excessive length of civil proceedings</w:t>
      </w:r>
      <w:r>
        <w:t xml:space="preserve"> (</w:t>
      </w:r>
      <w:r w:rsidRPr="00595C9B">
        <w:rPr>
          <w:i/>
          <w:iCs/>
        </w:rPr>
        <w:t xml:space="preserve">Group Suty </w:t>
      </w:r>
      <w:r w:rsidRPr="00595C9B">
        <w:t>(34/38) (standard supervision)</w:t>
      </w:r>
      <w:r>
        <w:t>).</w:t>
      </w:r>
    </w:p>
  </w:footnote>
  <w:footnote w:id="34">
    <w:p w14:paraId="407272A5" w14:textId="77777777" w:rsidR="00AD63B1" w:rsidRPr="00D65FAC" w:rsidRDefault="00AD63B1" w:rsidP="00792295">
      <w:pPr>
        <w:pStyle w:val="FootnoteRoLReport"/>
      </w:pPr>
      <w:r>
        <w:rPr>
          <w:rStyle w:val="FootnoteReference"/>
        </w:rPr>
        <w:footnoteRef/>
      </w:r>
      <w:r w:rsidRPr="00E0044F">
        <w:rPr>
          <w:lang w:val="fr-FR"/>
        </w:rPr>
        <w:t xml:space="preserve"> </w:t>
      </w:r>
      <w:r w:rsidRPr="00E0044F">
        <w:rPr>
          <w:lang w:val="fr-FR"/>
        </w:rPr>
        <w:tab/>
        <w:t xml:space="preserve">« Rationalisation des Instances en Voie d’Appel pour en Garantir l’Efficience ». </w:t>
      </w:r>
      <w:r w:rsidRPr="00D65FAC">
        <w:t>Streamlining Appeal Bodies to ensure their effectiveness.</w:t>
      </w:r>
    </w:p>
  </w:footnote>
  <w:footnote w:id="35">
    <w:p w14:paraId="01A4EEF3" w14:textId="77777777" w:rsidR="00AD63B1" w:rsidRPr="009723EC" w:rsidRDefault="00AD63B1" w:rsidP="00792295">
      <w:pPr>
        <w:pStyle w:val="FootnoteRoLReport"/>
      </w:pPr>
      <w:r>
        <w:rPr>
          <w:rStyle w:val="FootnoteReference"/>
        </w:rPr>
        <w:footnoteRef/>
      </w:r>
      <w:r>
        <w:t xml:space="preserve">  </w:t>
      </w:r>
      <w:r>
        <w:tab/>
        <w:t>P</w:t>
      </w:r>
      <w:r w:rsidRPr="004D27DF">
        <w:t>articular</w:t>
      </w:r>
      <w:r>
        <w:t>ly</w:t>
      </w:r>
      <w:r w:rsidRPr="004D27DF">
        <w:t xml:space="preserve"> those of the family court on maintenance obligations and for commercial leases with an annual rent of less than </w:t>
      </w:r>
      <w:r>
        <w:t>EUR 15 000.</w:t>
      </w:r>
    </w:p>
  </w:footnote>
  <w:footnote w:id="36">
    <w:p w14:paraId="2F6F8CF0" w14:textId="209BF368" w:rsidR="00AD63B1" w:rsidRPr="00881354" w:rsidRDefault="00AD63B1" w:rsidP="00792295">
      <w:pPr>
        <w:pStyle w:val="FootnoteRoLReport"/>
      </w:pPr>
      <w:r>
        <w:rPr>
          <w:rStyle w:val="FootnoteReference"/>
        </w:rPr>
        <w:footnoteRef/>
      </w:r>
      <w:r>
        <w:t xml:space="preserve"> </w:t>
      </w:r>
      <w:r>
        <w:tab/>
        <w:t>National Bar (2026), written input, pp. 11-12. Country visit France, Magistrates’ Associations and bars. Consultation of the Magistrates’ Union by the Government, website of the Union</w:t>
      </w:r>
      <w:r w:rsidRPr="00EF1F24">
        <w:t>. ENNHRI (2026)</w:t>
      </w:r>
      <w:r w:rsidR="002374DA">
        <w:t>, p. 9</w:t>
      </w:r>
      <w:r w:rsidRPr="00EF1F24">
        <w:t>.</w:t>
      </w:r>
    </w:p>
  </w:footnote>
  <w:footnote w:id="37">
    <w:p w14:paraId="657E908E" w14:textId="77777777" w:rsidR="00AD63B1" w:rsidRPr="00AB6A56" w:rsidRDefault="00AD63B1" w:rsidP="00792295">
      <w:pPr>
        <w:pStyle w:val="FootnoteRoLReport"/>
      </w:pPr>
      <w:r>
        <w:rPr>
          <w:rStyle w:val="FootnoteReference"/>
        </w:rPr>
        <w:footnoteRef/>
      </w:r>
      <w:r>
        <w:t xml:space="preserve"> </w:t>
      </w:r>
      <w:r>
        <w:tab/>
        <w:t>Country visit France, Ministry of Justice.</w:t>
      </w:r>
    </w:p>
  </w:footnote>
  <w:footnote w:id="38">
    <w:p w14:paraId="437C73DC" w14:textId="77777777" w:rsidR="00AD63B1" w:rsidRPr="00363EC7" w:rsidRDefault="00AD63B1" w:rsidP="00792295">
      <w:pPr>
        <w:pStyle w:val="FootnoteRoLReport"/>
      </w:pPr>
      <w:r>
        <w:rPr>
          <w:rStyle w:val="FootnoteReference"/>
        </w:rPr>
        <w:footnoteRef/>
      </w:r>
      <w:r w:rsidRPr="00363EC7">
        <w:t xml:space="preserve"> </w:t>
      </w:r>
      <w:r w:rsidRPr="00363EC7">
        <w:tab/>
      </w:r>
      <w:r>
        <w:t>From 2 303 in 2020 to 3 892 in 2024</w:t>
      </w:r>
      <w:r w:rsidRPr="00C26882">
        <w:t>. Ministry of Justice (2025).</w:t>
      </w:r>
      <w:r>
        <w:t xml:space="preserve"> See also MEDEL (2026), written input, p. </w:t>
      </w:r>
      <w:r w:rsidR="00431CAC">
        <w:t>1</w:t>
      </w:r>
      <w:r>
        <w:t>2.</w:t>
      </w:r>
    </w:p>
  </w:footnote>
  <w:footnote w:id="39">
    <w:p w14:paraId="1875A008" w14:textId="77777777" w:rsidR="00AD63B1" w:rsidRPr="00B66B37" w:rsidRDefault="00AD63B1" w:rsidP="00792295">
      <w:pPr>
        <w:pStyle w:val="FootnoteRoLReport"/>
      </w:pPr>
      <w:r>
        <w:rPr>
          <w:rStyle w:val="FootnoteReference"/>
        </w:rPr>
        <w:footnoteRef/>
      </w:r>
      <w:r w:rsidRPr="00A951B5">
        <w:t xml:space="preserve"> </w:t>
      </w:r>
      <w:r w:rsidRPr="00A951B5">
        <w:tab/>
      </w:r>
      <w:r w:rsidRPr="00982BF8">
        <w:t>Draft law on criminal justice and respect for victims,</w:t>
      </w:r>
      <w:r w:rsidRPr="009723EC">
        <w:t xml:space="preserve"> </w:t>
      </w:r>
      <w:r w:rsidRPr="00DB6642">
        <w:t>n° 456 (2025-2026)</w:t>
      </w:r>
      <w:r>
        <w:t>.</w:t>
      </w:r>
    </w:p>
  </w:footnote>
  <w:footnote w:id="40">
    <w:p w14:paraId="738915F7" w14:textId="0A3B65EB" w:rsidR="00AD63B1" w:rsidRPr="00B66B37" w:rsidRDefault="00AD63B1" w:rsidP="00792295">
      <w:pPr>
        <w:pStyle w:val="FootnoteRoLReport"/>
      </w:pPr>
      <w:r>
        <w:rPr>
          <w:rStyle w:val="FootnoteReference"/>
        </w:rPr>
        <w:footnoteRef/>
      </w:r>
      <w:r>
        <w:t xml:space="preserve"> </w:t>
      </w:r>
      <w:r>
        <w:tab/>
        <w:t xml:space="preserve">Country visit France, CSOs and Magistrates’ </w:t>
      </w:r>
      <w:r w:rsidR="002647A2">
        <w:t>a</w:t>
      </w:r>
      <w:r>
        <w:t>ssociations.</w:t>
      </w:r>
    </w:p>
  </w:footnote>
  <w:footnote w:id="41">
    <w:p w14:paraId="6D1C945F" w14:textId="56C69705" w:rsidR="00AD63B1" w:rsidRPr="00C673AD" w:rsidRDefault="00AD63B1" w:rsidP="00792295">
      <w:pPr>
        <w:pStyle w:val="FootnoteRoLReport"/>
      </w:pPr>
      <w:r>
        <w:rPr>
          <w:rStyle w:val="FootnoteReference"/>
        </w:rPr>
        <w:footnoteRef/>
      </w:r>
      <w:r>
        <w:t xml:space="preserve"> </w:t>
      </w:r>
      <w:r w:rsidRPr="00C673AD">
        <w:tab/>
      </w:r>
      <w:r>
        <w:t xml:space="preserve">Magistrates’ </w:t>
      </w:r>
      <w:r w:rsidR="002647A2">
        <w:t>a</w:t>
      </w:r>
      <w:r>
        <w:t xml:space="preserve">ssociations are concerned about the criteria which will be used for the selection of these citizens. Country visit France, Magistrates’ </w:t>
      </w:r>
      <w:r w:rsidR="002647A2">
        <w:t>a</w:t>
      </w:r>
      <w:r>
        <w:t>ssociations.</w:t>
      </w:r>
    </w:p>
  </w:footnote>
  <w:footnote w:id="42">
    <w:p w14:paraId="7C74F339" w14:textId="77777777" w:rsidR="00AD63B1" w:rsidRPr="00553852" w:rsidRDefault="00AD63B1" w:rsidP="00792295">
      <w:pPr>
        <w:pStyle w:val="FootnoteRoLReport"/>
      </w:pPr>
      <w:r>
        <w:rPr>
          <w:rStyle w:val="FootnoteReference"/>
        </w:rPr>
        <w:footnoteRef/>
      </w:r>
      <w:r>
        <w:t xml:space="preserve">  </w:t>
      </w:r>
      <w:r w:rsidRPr="00060CB6">
        <w:t>The level of perceived corruption is categorised as follows: low (the perception among experts and business executives of public sector corruption scores above 79); relatively low (scores between 79-60), relatively high (scores between 59- 50), high (scores below 50).</w:t>
      </w:r>
    </w:p>
  </w:footnote>
  <w:footnote w:id="43">
    <w:p w14:paraId="2DA3D582" w14:textId="77777777" w:rsidR="00AD63B1" w:rsidRPr="00060CB6" w:rsidRDefault="00AD63B1" w:rsidP="00792295">
      <w:pPr>
        <w:pStyle w:val="FootnoteRoLReport"/>
      </w:pPr>
      <w:r>
        <w:rPr>
          <w:rStyle w:val="FootnoteReference"/>
        </w:rPr>
        <w:footnoteRef/>
      </w:r>
      <w:r>
        <w:t xml:space="preserve"> </w:t>
      </w:r>
      <w:r>
        <w:tab/>
      </w:r>
      <w:r w:rsidRPr="00BF0D93">
        <w:t>In 202</w:t>
      </w:r>
      <w:r>
        <w:t>1</w:t>
      </w:r>
      <w:r w:rsidRPr="00BF0D93">
        <w:t xml:space="preserve">, the score was </w:t>
      </w:r>
      <w:r>
        <w:t>71</w:t>
      </w:r>
      <w:r w:rsidRPr="00BF0D93">
        <w:t>, while, in 202</w:t>
      </w:r>
      <w:r>
        <w:t>5</w:t>
      </w:r>
      <w:r w:rsidRPr="00BF0D93">
        <w:t>, the score is 6</w:t>
      </w:r>
      <w:r>
        <w:t>6</w:t>
      </w:r>
      <w:r w:rsidRPr="00BF0D93">
        <w:t>. The score significantly increases/decreases when it changes more than five points; improves/deteriorates (changes between 4-5 points); is relatively stable (changes from 1-3 points) in the last five years.</w:t>
      </w:r>
    </w:p>
  </w:footnote>
  <w:footnote w:id="44">
    <w:p w14:paraId="0142A330" w14:textId="77777777" w:rsidR="00AD63B1" w:rsidRPr="00BF0D93" w:rsidRDefault="00AD63B1" w:rsidP="00792295">
      <w:pPr>
        <w:pStyle w:val="FootnoteRoLReport"/>
      </w:pPr>
      <w:r>
        <w:rPr>
          <w:rStyle w:val="FootnoteReference"/>
        </w:rPr>
        <w:footnoteRef/>
      </w:r>
      <w:r>
        <w:t xml:space="preserve"> </w:t>
      </w:r>
      <w:r>
        <w:tab/>
      </w:r>
      <w:r w:rsidRPr="00B00721">
        <w:t xml:space="preserve">Data from Special Eurobarometer </w:t>
      </w:r>
      <w:r>
        <w:t>573</w:t>
      </w:r>
      <w:r w:rsidRPr="00B00721">
        <w:t xml:space="preserve"> (202</w:t>
      </w:r>
      <w:r>
        <w:t>6</w:t>
      </w:r>
      <w:r w:rsidRPr="00B00721">
        <w:t xml:space="preserve">) and Flash Eurobarometer </w:t>
      </w:r>
      <w:r>
        <w:t>582</w:t>
      </w:r>
      <w:r w:rsidRPr="00B00721">
        <w:t xml:space="preserve"> (202</w:t>
      </w:r>
      <w:r>
        <w:t>6</w:t>
      </w:r>
      <w:r w:rsidRPr="00B00721">
        <w:t>).</w:t>
      </w:r>
    </w:p>
  </w:footnote>
  <w:footnote w:id="45">
    <w:p w14:paraId="747B1C6F" w14:textId="77777777" w:rsidR="00AD63B1" w:rsidRDefault="00AD63B1" w:rsidP="00792295">
      <w:pPr>
        <w:pStyle w:val="FootnoteRoLReport"/>
      </w:pPr>
      <w:r w:rsidRPr="48FACCB2">
        <w:rPr>
          <w:rStyle w:val="FootnoteReference"/>
        </w:rPr>
        <w:footnoteRef/>
      </w:r>
      <w:r w:rsidRPr="48FACCB2">
        <w:t xml:space="preserve"> </w:t>
      </w:r>
      <w:r>
        <w:tab/>
      </w:r>
      <w:r w:rsidRPr="73241ABE">
        <w:t xml:space="preserve">2025 Rule of Law Report, France, p. </w:t>
      </w:r>
      <w:r>
        <w:t>6</w:t>
      </w:r>
      <w:r w:rsidRPr="73241ABE">
        <w:t xml:space="preserve">. </w:t>
      </w:r>
      <w:r w:rsidRPr="48FACCB2">
        <w:t>CSOs had called on the development of integrity plans for municipalities above 100</w:t>
      </w:r>
      <w:r>
        <w:t> </w:t>
      </w:r>
      <w:r w:rsidRPr="48FACCB2">
        <w:t xml:space="preserve">000 inhabitants.  </w:t>
      </w:r>
    </w:p>
  </w:footnote>
  <w:footnote w:id="46">
    <w:p w14:paraId="31FED0C7" w14:textId="77777777" w:rsidR="00AD63B1" w:rsidRDefault="00AD63B1" w:rsidP="00792295">
      <w:pPr>
        <w:pStyle w:val="FootnoteRoLReport"/>
      </w:pPr>
      <w:r w:rsidRPr="48FACCB2">
        <w:rPr>
          <w:rStyle w:val="FootnoteReference"/>
        </w:rPr>
        <w:footnoteRef/>
      </w:r>
      <w:r w:rsidRPr="48FACCB2">
        <w:t xml:space="preserve"> </w:t>
      </w:r>
      <w:r>
        <w:tab/>
      </w:r>
      <w:r w:rsidRPr="1EE8C244">
        <w:t xml:space="preserve">Country </w:t>
      </w:r>
      <w:r>
        <w:t>v</w:t>
      </w:r>
      <w:r w:rsidRPr="1EE8C244">
        <w:t>isit France, Anticor and Transparency International France</w:t>
      </w:r>
      <w:r w:rsidRPr="6DE42ACE">
        <w:t>.</w:t>
      </w:r>
      <w:r w:rsidRPr="1EE8C244">
        <w:t xml:space="preserve"> </w:t>
      </w:r>
      <w:r w:rsidRPr="48FACCB2">
        <w:t xml:space="preserve">CSOs have been involved in the preparation of the National Plan only to a limited extent. Transparency International France published its “Alternative Plan: 19 measures to sustainably reduce corruption in France” as a reply to the </w:t>
      </w:r>
      <w:r>
        <w:t>NACP</w:t>
      </w:r>
      <w:r w:rsidRPr="48FACCB2">
        <w:t>.</w:t>
      </w:r>
    </w:p>
  </w:footnote>
  <w:footnote w:id="47">
    <w:p w14:paraId="179C2A74" w14:textId="77777777" w:rsidR="00AD63B1" w:rsidRDefault="00AD63B1" w:rsidP="00792295">
      <w:pPr>
        <w:pStyle w:val="FootnoteRoLReport"/>
      </w:pPr>
      <w:r w:rsidRPr="48FACCB2">
        <w:rPr>
          <w:rStyle w:val="FootnoteReference"/>
        </w:rPr>
        <w:footnoteRef/>
      </w:r>
      <w:r w:rsidRPr="48FACCB2">
        <w:t xml:space="preserve"> </w:t>
      </w:r>
      <w:r>
        <w:tab/>
        <w:t xml:space="preserve">NACP </w:t>
      </w:r>
      <w:r w:rsidRPr="48FACCB2">
        <w:t>2025-2029</w:t>
      </w:r>
      <w:r>
        <w:t>, M</w:t>
      </w:r>
      <w:r w:rsidRPr="48FACCB2">
        <w:t xml:space="preserve">easure 1.  </w:t>
      </w:r>
    </w:p>
  </w:footnote>
  <w:footnote w:id="48">
    <w:p w14:paraId="5D15548B" w14:textId="77777777" w:rsidR="00AD63B1" w:rsidRDefault="00AD63B1" w:rsidP="00792295">
      <w:pPr>
        <w:pStyle w:val="FootnoteRoLReport"/>
      </w:pPr>
      <w:r w:rsidRPr="48FACCB2">
        <w:rPr>
          <w:rStyle w:val="FootnoteReference"/>
        </w:rPr>
        <w:footnoteRef/>
      </w:r>
      <w:r w:rsidRPr="48FACCB2">
        <w:t xml:space="preserve"> </w:t>
      </w:r>
      <w:r>
        <w:tab/>
        <w:t>Ibidem and</w:t>
      </w:r>
      <w:r w:rsidRPr="48FACCB2">
        <w:t xml:space="preserve"> French Government (2026), written input, p. 19.</w:t>
      </w:r>
    </w:p>
  </w:footnote>
  <w:footnote w:id="49">
    <w:p w14:paraId="16593F60" w14:textId="77777777" w:rsidR="00AD63B1" w:rsidRDefault="00AD63B1" w:rsidP="00792295">
      <w:pPr>
        <w:pStyle w:val="FootnoteRoLReport"/>
      </w:pPr>
      <w:r w:rsidRPr="48FACCB2">
        <w:rPr>
          <w:rStyle w:val="FootnoteReference"/>
        </w:rPr>
        <w:footnoteRef/>
      </w:r>
      <w:r w:rsidRPr="48FACCB2">
        <w:t xml:space="preserve"> </w:t>
      </w:r>
      <w:r>
        <w:tab/>
      </w:r>
      <w:r w:rsidRPr="48FACCB2">
        <w:t>Court of Audit</w:t>
      </w:r>
      <w:r>
        <w:t xml:space="preserve"> (2025)</w:t>
      </w:r>
      <w:r w:rsidRPr="48FACCB2">
        <w:t>,</w:t>
      </w:r>
      <w:r>
        <w:t xml:space="preserve"> </w:t>
      </w:r>
      <w:r w:rsidRPr="48FACCB2">
        <w:t>Evaluation of the Anti-Corruption Policy 2013-2024</w:t>
      </w:r>
      <w:r>
        <w:t>,</w:t>
      </w:r>
      <w:r w:rsidRPr="48FACCB2">
        <w:t xml:space="preserve"> p</w:t>
      </w:r>
      <w:r>
        <w:t>p</w:t>
      </w:r>
      <w:r w:rsidRPr="48FACCB2">
        <w:t xml:space="preserve">. 10 and 92. The implementation of the </w:t>
      </w:r>
      <w:r>
        <w:t>NACP</w:t>
      </w:r>
      <w:r w:rsidRPr="48FACCB2">
        <w:t xml:space="preserve"> must be based on clear governance and strong political ownership</w:t>
      </w:r>
      <w:r>
        <w:t>.</w:t>
      </w:r>
      <w:r w:rsidRPr="48FACCB2">
        <w:t xml:space="preserve"> </w:t>
      </w:r>
    </w:p>
  </w:footnote>
  <w:footnote w:id="50">
    <w:p w14:paraId="78E10868" w14:textId="77777777" w:rsidR="00AD63B1" w:rsidRDefault="00AD63B1" w:rsidP="00792295">
      <w:pPr>
        <w:pStyle w:val="FootnoteRoLReport"/>
      </w:pPr>
      <w:r w:rsidRPr="48FACCB2">
        <w:rPr>
          <w:rStyle w:val="FootnoteReference"/>
        </w:rPr>
        <w:footnoteRef/>
      </w:r>
      <w:r w:rsidRPr="48FACCB2">
        <w:t xml:space="preserve"> </w:t>
      </w:r>
      <w:r>
        <w:tab/>
      </w:r>
      <w:r w:rsidRPr="48FACCB2">
        <w:t>Transparency International France</w:t>
      </w:r>
      <w:r w:rsidRPr="17E0B0BD">
        <w:t xml:space="preserve"> (2026), w</w:t>
      </w:r>
      <w:r w:rsidRPr="48FACCB2">
        <w:t>ritten input, p. 17; Cou</w:t>
      </w:r>
      <w:r>
        <w:t>n</w:t>
      </w:r>
      <w:r w:rsidRPr="48FACCB2">
        <w:t>try Visit France, Anticor and Transparency International France. The lack of references to the resources dedicated to the implementation of the Plan has been mentioned by several stakeholders, in particular CSOs.</w:t>
      </w:r>
    </w:p>
  </w:footnote>
  <w:footnote w:id="51">
    <w:p w14:paraId="6C0C895F" w14:textId="77777777" w:rsidR="00AD63B1" w:rsidRPr="00962571" w:rsidRDefault="00AD63B1" w:rsidP="00792295">
      <w:pPr>
        <w:pStyle w:val="FootnoteRoLReport"/>
      </w:pPr>
      <w:r w:rsidRPr="48FACCB2">
        <w:rPr>
          <w:rStyle w:val="FootnoteReference"/>
        </w:rPr>
        <w:footnoteRef/>
      </w:r>
      <w:r w:rsidRPr="48FACCB2">
        <w:t xml:space="preserve"> </w:t>
      </w:r>
      <w:r>
        <w:tab/>
      </w:r>
      <w:r w:rsidRPr="008E168E">
        <w:t>Recruitments of magistrates are planned until 2027, see pillar 1. Part of these reinforcements will be dedicated to the fight against corruption.</w:t>
      </w:r>
    </w:p>
  </w:footnote>
  <w:footnote w:id="52">
    <w:p w14:paraId="37FEEAA3" w14:textId="77777777" w:rsidR="00AD63B1" w:rsidRPr="008A410B" w:rsidRDefault="00AD63B1" w:rsidP="00792295">
      <w:pPr>
        <w:pStyle w:val="FootnoteRoLReport"/>
      </w:pPr>
      <w:r w:rsidRPr="48FACCB2">
        <w:rPr>
          <w:rStyle w:val="FootnoteReference"/>
        </w:rPr>
        <w:footnoteRef/>
      </w:r>
      <w:r w:rsidRPr="48FACCB2">
        <w:t xml:space="preserve">  </w:t>
      </w:r>
      <w:r>
        <w:tab/>
      </w:r>
      <w:r w:rsidRPr="48FACCB2">
        <w:t>Court of Audit</w:t>
      </w:r>
      <w:r>
        <w:t xml:space="preserve"> (2025)</w:t>
      </w:r>
      <w:r w:rsidRPr="48FACCB2">
        <w:t>, Evaluation of the Anti-Corruption Policy 2013-2024, p. 77. Country visit France, Magistrates’ Association</w:t>
      </w:r>
      <w:r>
        <w:t>s</w:t>
      </w:r>
      <w:r w:rsidRPr="48FACCB2">
        <w:t xml:space="preserve">, Anticor and Transparency International France. </w:t>
      </w:r>
    </w:p>
  </w:footnote>
  <w:footnote w:id="53">
    <w:p w14:paraId="497C430F" w14:textId="4BFB24D2" w:rsidR="00AD63B1" w:rsidRPr="00951AEF" w:rsidRDefault="00AD63B1" w:rsidP="00792295">
      <w:pPr>
        <w:pStyle w:val="FootnoteRoLReport"/>
      </w:pPr>
      <w:r w:rsidRPr="48FACCB2">
        <w:rPr>
          <w:rStyle w:val="FootnoteReference"/>
        </w:rPr>
        <w:footnoteRef/>
      </w:r>
      <w:r w:rsidRPr="48FACCB2">
        <w:t xml:space="preserve"> </w:t>
      </w:r>
      <w:r>
        <w:tab/>
      </w:r>
      <w:r w:rsidRPr="48FACCB2">
        <w:t xml:space="preserve">French Government (2026), written input, p. 28. </w:t>
      </w:r>
      <w:r>
        <w:t>Website of the</w:t>
      </w:r>
      <w:r w:rsidRPr="48FACCB2">
        <w:t xml:space="preserve"> First Instance Court of Paris: 9 legal assistants </w:t>
      </w:r>
      <w:r>
        <w:t>(+1)</w:t>
      </w:r>
      <w:r w:rsidRPr="48FACCB2">
        <w:t xml:space="preserve"> and 1</w:t>
      </w:r>
      <w:r w:rsidR="003A1D82">
        <w:t>9</w:t>
      </w:r>
      <w:r w:rsidRPr="48FACCB2">
        <w:t xml:space="preserve"> clerks </w:t>
      </w:r>
      <w:r>
        <w:t>(+</w:t>
      </w:r>
      <w:r w:rsidR="003A1D82">
        <w:t>1</w:t>
      </w:r>
      <w:r>
        <w:t xml:space="preserve">) </w:t>
      </w:r>
      <w:r w:rsidRPr="48FACCB2">
        <w:t>are now working at the PNF.</w:t>
      </w:r>
    </w:p>
  </w:footnote>
  <w:footnote w:id="54">
    <w:p w14:paraId="3F257A1B" w14:textId="77777777" w:rsidR="00AD63B1" w:rsidRPr="00951AEF" w:rsidRDefault="00AD63B1" w:rsidP="00792295">
      <w:pPr>
        <w:pStyle w:val="FootnoteRoLReport"/>
      </w:pPr>
      <w:r w:rsidRPr="48FACCB2">
        <w:rPr>
          <w:rStyle w:val="FootnoteReference"/>
        </w:rPr>
        <w:footnoteRef/>
      </w:r>
      <w:r w:rsidRPr="48FACCB2">
        <w:t xml:space="preserve"> </w:t>
      </w:r>
      <w:r>
        <w:tab/>
      </w:r>
      <w:r w:rsidRPr="48FACCB2">
        <w:t>Country visit France, Government.</w:t>
      </w:r>
    </w:p>
  </w:footnote>
  <w:footnote w:id="55">
    <w:p w14:paraId="1BCA279E" w14:textId="77777777" w:rsidR="00AD63B1" w:rsidRPr="00951AEF" w:rsidRDefault="00AD63B1" w:rsidP="00792295">
      <w:pPr>
        <w:pStyle w:val="FootnoteRoLReport"/>
      </w:pPr>
      <w:r w:rsidRPr="48FACCB2">
        <w:rPr>
          <w:rStyle w:val="FootnoteReference"/>
        </w:rPr>
        <w:footnoteRef/>
      </w:r>
      <w:r w:rsidRPr="48FACCB2">
        <w:t xml:space="preserve"> </w:t>
      </w:r>
      <w:r>
        <w:tab/>
      </w:r>
      <w:r w:rsidRPr="48FACCB2">
        <w:t>Country visit France</w:t>
      </w:r>
      <w:r>
        <w:t>, Government; PNF (2025)</w:t>
      </w:r>
      <w:r w:rsidRPr="48FACCB2">
        <w:t>:</w:t>
      </w:r>
      <w:r>
        <w:rPr>
          <w:color w:val="000000" w:themeColor="text1"/>
        </w:rPr>
        <w:t xml:space="preserve"> 771 cases were pending </w:t>
      </w:r>
      <w:r>
        <w:t>at the end of 2025; 772 in 2023 (highest recorded number)</w:t>
      </w:r>
      <w:r>
        <w:rPr>
          <w:color w:val="000000" w:themeColor="text1"/>
        </w:rPr>
        <w:t xml:space="preserve">; </w:t>
      </w:r>
      <w:r>
        <w:t xml:space="preserve">only 211 in 2014. </w:t>
      </w:r>
    </w:p>
  </w:footnote>
  <w:footnote w:id="56">
    <w:p w14:paraId="355E88A7" w14:textId="77777777" w:rsidR="00AD63B1" w:rsidRPr="004C79A5" w:rsidRDefault="00AD63B1" w:rsidP="00792295">
      <w:pPr>
        <w:pStyle w:val="FootnoteRoLReport"/>
      </w:pPr>
      <w:r w:rsidRPr="48FACCB2">
        <w:rPr>
          <w:rStyle w:val="FootnoteReference"/>
        </w:rPr>
        <w:footnoteRef/>
      </w:r>
      <w:r w:rsidRPr="48FACCB2">
        <w:t xml:space="preserve"> </w:t>
      </w:r>
      <w:r>
        <w:tab/>
      </w:r>
      <w:r w:rsidRPr="1EE8C244">
        <w:t>Law n° 2025-532 of 13 June 2025 on Anti-Narcotics and Organised Crime.</w:t>
      </w:r>
    </w:p>
  </w:footnote>
  <w:footnote w:id="57">
    <w:p w14:paraId="06AD479D" w14:textId="77777777" w:rsidR="00AD63B1" w:rsidRPr="006F1ED4" w:rsidRDefault="00AD63B1" w:rsidP="00792295">
      <w:pPr>
        <w:pStyle w:val="FootnoteRoLReport"/>
      </w:pPr>
      <w:r w:rsidRPr="48FACCB2">
        <w:rPr>
          <w:rStyle w:val="FootnoteReference"/>
        </w:rPr>
        <w:footnoteRef/>
      </w:r>
      <w:r w:rsidRPr="48FACCB2">
        <w:t xml:space="preserve"> </w:t>
      </w:r>
      <w:r>
        <w:tab/>
      </w:r>
      <w:r w:rsidRPr="48FACCB2">
        <w:t>Country visit France, French Government.</w:t>
      </w:r>
    </w:p>
  </w:footnote>
  <w:footnote w:id="58">
    <w:p w14:paraId="40A0F673" w14:textId="77777777" w:rsidR="00AD63B1" w:rsidRPr="0059138D" w:rsidRDefault="00AD63B1" w:rsidP="00792295">
      <w:pPr>
        <w:pStyle w:val="FootnoteRoLReport"/>
      </w:pPr>
      <w:r w:rsidRPr="48FACCB2">
        <w:rPr>
          <w:rStyle w:val="FootnoteReference"/>
        </w:rPr>
        <w:footnoteRef/>
      </w:r>
      <w:r w:rsidRPr="48FACCB2">
        <w:t xml:space="preserve"> </w:t>
      </w:r>
      <w:r>
        <w:tab/>
      </w:r>
      <w:r w:rsidRPr="48FACCB2">
        <w:t>French Government</w:t>
      </w:r>
      <w:r>
        <w:t xml:space="preserve"> (2026)</w:t>
      </w:r>
      <w:r w:rsidRPr="48FACCB2">
        <w:t xml:space="preserve">, written </w:t>
      </w:r>
      <w:r>
        <w:t>i</w:t>
      </w:r>
      <w:r w:rsidRPr="48FACCB2">
        <w:t xml:space="preserve">nput, p. 17. The former National Investigation Division has been replaced by the National Delegation Against Corruption which is now in charge of anti-corruption </w:t>
      </w:r>
      <w:r>
        <w:t>mission</w:t>
      </w:r>
      <w:r w:rsidRPr="48FACCB2">
        <w:t>.</w:t>
      </w:r>
    </w:p>
  </w:footnote>
  <w:footnote w:id="59">
    <w:p w14:paraId="7A1B7E41" w14:textId="77777777" w:rsidR="00AD63B1" w:rsidRDefault="00AD63B1" w:rsidP="00792295">
      <w:pPr>
        <w:pStyle w:val="FootnoteRoLReport"/>
      </w:pPr>
      <w:r w:rsidRPr="598975F6">
        <w:rPr>
          <w:rStyle w:val="FootnoteReference"/>
        </w:rPr>
        <w:footnoteRef/>
      </w:r>
      <w:r w:rsidRPr="598975F6">
        <w:t xml:space="preserve"> </w:t>
      </w:r>
      <w:r>
        <w:tab/>
      </w:r>
      <w:r w:rsidRPr="598975F6">
        <w:t>French Government (2026), written input, p. 26.</w:t>
      </w:r>
      <w:r>
        <w:t xml:space="preserve"> The HATVP issued 593 opinions in 2025.</w:t>
      </w:r>
    </w:p>
  </w:footnote>
  <w:footnote w:id="60">
    <w:p w14:paraId="0BC773B6" w14:textId="77777777" w:rsidR="00AD63B1" w:rsidRPr="004A5F17" w:rsidRDefault="00AD63B1" w:rsidP="00792295">
      <w:pPr>
        <w:pStyle w:val="FootnoteRoLReport"/>
      </w:pPr>
      <w:r>
        <w:rPr>
          <w:rStyle w:val="FootnoteReference"/>
        </w:rPr>
        <w:footnoteRef/>
      </w:r>
      <w:r>
        <w:t xml:space="preserve">  </w:t>
      </w:r>
      <w:r>
        <w:tab/>
        <w:t>Decree n° 2025-733 of 31 July 2025 on transparency of lobbyists acting on behalf of foreign entities.</w:t>
      </w:r>
    </w:p>
  </w:footnote>
  <w:footnote w:id="61">
    <w:p w14:paraId="7DAEB666" w14:textId="77777777" w:rsidR="00AD63B1" w:rsidRPr="00652187" w:rsidRDefault="00AD63B1" w:rsidP="00792295">
      <w:pPr>
        <w:pStyle w:val="FootnoteRoLReport"/>
      </w:pPr>
      <w:r>
        <w:rPr>
          <w:rStyle w:val="FootnoteReference"/>
        </w:rPr>
        <w:footnoteRef/>
      </w:r>
      <w:r>
        <w:t xml:space="preserve">  </w:t>
      </w:r>
      <w:r>
        <w:tab/>
        <w:t>2025 Rule of Law Report, France, p. 7.</w:t>
      </w:r>
    </w:p>
  </w:footnote>
  <w:footnote w:id="62">
    <w:p w14:paraId="32986A7B" w14:textId="77777777" w:rsidR="00AD63B1" w:rsidRPr="005F5EB4" w:rsidRDefault="00AD63B1" w:rsidP="00792295">
      <w:pPr>
        <w:pStyle w:val="FootnoteRoLReport"/>
      </w:pPr>
      <w:r w:rsidRPr="48FACCB2">
        <w:rPr>
          <w:rStyle w:val="FootnoteReference"/>
        </w:rPr>
        <w:footnoteRef/>
      </w:r>
      <w:r w:rsidRPr="598975F6">
        <w:t xml:space="preserve"> </w:t>
      </w:r>
      <w:r>
        <w:tab/>
      </w:r>
      <w:r w:rsidRPr="598975F6">
        <w:t xml:space="preserve">Country </w:t>
      </w:r>
      <w:r>
        <w:t>v</w:t>
      </w:r>
      <w:r w:rsidRPr="598975F6">
        <w:t>isit France, HATVP:</w:t>
      </w:r>
      <w:r w:rsidRPr="48FACCB2">
        <w:t xml:space="preserve"> </w:t>
      </w:r>
      <w:r>
        <w:t>four</w:t>
      </w:r>
      <w:r w:rsidRPr="48FACCB2">
        <w:t xml:space="preserve"> positions were created in 2025 to cover previous needs</w:t>
      </w:r>
      <w:r>
        <w:t>,</w:t>
      </w:r>
      <w:r w:rsidRPr="48FACCB2">
        <w:t xml:space="preserve"> </w:t>
      </w:r>
      <w:r>
        <w:t xml:space="preserve">but they are not considered as sufficient by the HATVP and CSOs. </w:t>
      </w:r>
      <w:r w:rsidRPr="598975F6">
        <w:t>Transparency International France</w:t>
      </w:r>
      <w:r>
        <w:t xml:space="preserve"> (2026)</w:t>
      </w:r>
      <w:r w:rsidRPr="598975F6">
        <w:t xml:space="preserve">, </w:t>
      </w:r>
      <w:r>
        <w:t>w</w:t>
      </w:r>
      <w:r w:rsidRPr="598975F6">
        <w:t xml:space="preserve">ritten </w:t>
      </w:r>
      <w:r>
        <w:t>i</w:t>
      </w:r>
      <w:r w:rsidRPr="598975F6">
        <w:t xml:space="preserve">nput, p. 19. </w:t>
      </w:r>
      <w:r w:rsidRPr="00647D4B">
        <w:t xml:space="preserve"> Country visit France, HATVP</w:t>
      </w:r>
      <w:r w:rsidRPr="598975F6">
        <w:t xml:space="preserve">. </w:t>
      </w:r>
    </w:p>
  </w:footnote>
  <w:footnote w:id="63">
    <w:p w14:paraId="1C39BB3D" w14:textId="77777777" w:rsidR="00AD63B1" w:rsidRDefault="00AD63B1" w:rsidP="00792295">
      <w:pPr>
        <w:pStyle w:val="FootnoteRoLReport"/>
      </w:pPr>
      <w:r w:rsidRPr="48FACCB2">
        <w:rPr>
          <w:vertAlign w:val="superscript"/>
        </w:rPr>
        <w:footnoteRef/>
      </w:r>
      <w:r w:rsidRPr="48FACCB2">
        <w:t xml:space="preserve"> </w:t>
      </w:r>
      <w:r>
        <w:tab/>
      </w:r>
      <w:r w:rsidRPr="00E81998">
        <w:t>HATVP (2026).</w:t>
      </w:r>
      <w:r>
        <w:t xml:space="preserve"> </w:t>
      </w:r>
    </w:p>
  </w:footnote>
  <w:footnote w:id="64">
    <w:p w14:paraId="6DD0E2BB" w14:textId="77777777" w:rsidR="00AD63B1" w:rsidRPr="00611AB7" w:rsidRDefault="00AD63B1" w:rsidP="00792295">
      <w:pPr>
        <w:pStyle w:val="FootnoteRoLReport"/>
      </w:pPr>
      <w:r w:rsidRPr="598975F6">
        <w:rPr>
          <w:vertAlign w:val="superscript"/>
        </w:rPr>
        <w:footnoteRef/>
      </w:r>
      <w:r w:rsidRPr="598975F6">
        <w:t xml:space="preserve"> </w:t>
      </w:r>
      <w:r>
        <w:tab/>
      </w:r>
      <w:r w:rsidRPr="00611AB7">
        <w:t>Country visit France, French Government.</w:t>
      </w:r>
    </w:p>
  </w:footnote>
  <w:footnote w:id="65">
    <w:p w14:paraId="01971C65" w14:textId="77777777" w:rsidR="00AD63B1" w:rsidRPr="00BC457E" w:rsidRDefault="00AD63B1" w:rsidP="00792295">
      <w:pPr>
        <w:pStyle w:val="FootnoteRoLReport"/>
        <w:rPr>
          <w:lang w:val="en-IE"/>
        </w:rPr>
      </w:pPr>
      <w:r w:rsidRPr="00611AB7">
        <w:rPr>
          <w:rStyle w:val="FootnoteReference"/>
        </w:rPr>
        <w:footnoteRef/>
      </w:r>
      <w:r w:rsidRPr="00BC457E">
        <w:rPr>
          <w:lang w:val="en-IE"/>
        </w:rPr>
        <w:t xml:space="preserve"> </w:t>
      </w:r>
      <w:r w:rsidRPr="00BC457E">
        <w:rPr>
          <w:lang w:val="en-IE"/>
        </w:rPr>
        <w:tab/>
        <w:t>GRECO (2025), Recommendation viii.</w:t>
      </w:r>
    </w:p>
  </w:footnote>
  <w:footnote w:id="66">
    <w:p w14:paraId="1D28F6EE" w14:textId="77777777" w:rsidR="00AD63B1" w:rsidRPr="00BC457E" w:rsidRDefault="00AD63B1" w:rsidP="00792295">
      <w:pPr>
        <w:pStyle w:val="FootnoteRoLReport"/>
        <w:rPr>
          <w:lang w:val="en-IE"/>
        </w:rPr>
      </w:pPr>
      <w:r w:rsidRPr="00611AB7">
        <w:rPr>
          <w:rStyle w:val="FootnoteReference"/>
        </w:rPr>
        <w:footnoteRef/>
      </w:r>
      <w:r w:rsidRPr="00BC457E">
        <w:rPr>
          <w:lang w:val="en-IE"/>
        </w:rPr>
        <w:t xml:space="preserve"> </w:t>
      </w:r>
      <w:r w:rsidRPr="00BC457E">
        <w:rPr>
          <w:lang w:val="en-IE"/>
        </w:rPr>
        <w:tab/>
        <w:t>Ibidem, Recommendation ix.</w:t>
      </w:r>
    </w:p>
  </w:footnote>
  <w:footnote w:id="67">
    <w:p w14:paraId="4795D0B1" w14:textId="77777777" w:rsidR="00AD63B1" w:rsidRDefault="00AD63B1" w:rsidP="00792295">
      <w:pPr>
        <w:pStyle w:val="FootnoteRoLReport"/>
      </w:pPr>
      <w:r w:rsidRPr="00611AB7">
        <w:rPr>
          <w:rStyle w:val="FootnoteReference"/>
        </w:rPr>
        <w:footnoteRef/>
      </w:r>
      <w:r w:rsidRPr="00611AB7">
        <w:t xml:space="preserve"> </w:t>
      </w:r>
      <w:r w:rsidRPr="00611AB7">
        <w:tab/>
        <w:t>GRECO (2024), Recommendation</w:t>
      </w:r>
      <w:r w:rsidRPr="48FACCB2">
        <w:t xml:space="preserve"> v.</w:t>
      </w:r>
    </w:p>
  </w:footnote>
  <w:footnote w:id="68">
    <w:p w14:paraId="5973FF89" w14:textId="18DE580D" w:rsidR="00AD63B1" w:rsidRPr="009B3B79" w:rsidRDefault="00AD63B1" w:rsidP="00792295">
      <w:pPr>
        <w:pStyle w:val="FootnoteRoLReport"/>
      </w:pPr>
      <w:r w:rsidRPr="48FACCB2">
        <w:rPr>
          <w:vertAlign w:val="superscript"/>
        </w:rPr>
        <w:footnoteRef/>
      </w:r>
      <w:r w:rsidRPr="48FACCB2">
        <w:t xml:space="preserve">  </w:t>
      </w:r>
      <w:r>
        <w:tab/>
      </w:r>
      <w:r w:rsidRPr="48FACCB2">
        <w:t>The 202</w:t>
      </w:r>
      <w:r>
        <w:t>5</w:t>
      </w:r>
      <w:r w:rsidRPr="48FACCB2">
        <w:t xml:space="preserve"> Rule of Law Report recommended </w:t>
      </w:r>
      <w:r w:rsidR="00E501EB">
        <w:t xml:space="preserve">to </w:t>
      </w:r>
      <w:r w:rsidRPr="48FACCB2">
        <w:t xml:space="preserve">France to </w:t>
      </w:r>
      <w:r w:rsidRPr="1742DE57">
        <w:t>“</w:t>
      </w:r>
      <w:r w:rsidRPr="48FACCB2">
        <w:t>Continue ongoing efforts to ensure that rules on lobbying activities are consistently applied to all relevant actors, including at top-executive level, and take forward the legislative process on the draft laws on lobbying”.</w:t>
      </w:r>
      <w:r>
        <w:t xml:space="preserve"> Some progress was assessed previously on this recommendation in 2025, 2024, with no progress in 2023.</w:t>
      </w:r>
    </w:p>
  </w:footnote>
  <w:footnote w:id="69">
    <w:p w14:paraId="521F1C36" w14:textId="77777777" w:rsidR="00AD63B1" w:rsidRDefault="00AD63B1" w:rsidP="00792295">
      <w:pPr>
        <w:pStyle w:val="FootnoteRoLReport"/>
      </w:pPr>
      <w:r w:rsidRPr="48FACCB2">
        <w:rPr>
          <w:rStyle w:val="FootnoteReference"/>
        </w:rPr>
        <w:footnoteRef/>
      </w:r>
      <w:r w:rsidRPr="48FACCB2">
        <w:t xml:space="preserve"> </w:t>
      </w:r>
      <w:r>
        <w:tab/>
      </w:r>
      <w:r w:rsidRPr="48FACCB2">
        <w:t xml:space="preserve">Decree </w:t>
      </w:r>
      <w:r>
        <w:t>n</w:t>
      </w:r>
      <w:r w:rsidRPr="48FACCB2">
        <w:t>° 2025-733 of 31 July 2025 on transparency of lobbyist</w:t>
      </w:r>
      <w:r>
        <w:t>s</w:t>
      </w:r>
      <w:r w:rsidRPr="48FACCB2">
        <w:t xml:space="preserve"> acting on behalf of foreign entities.</w:t>
      </w:r>
    </w:p>
  </w:footnote>
  <w:footnote w:id="70">
    <w:p w14:paraId="0E8A1D9C" w14:textId="77777777" w:rsidR="00AD63B1" w:rsidRPr="00B22021" w:rsidRDefault="00AD63B1" w:rsidP="00792295">
      <w:pPr>
        <w:pStyle w:val="FootnoteRoLReport"/>
      </w:pPr>
      <w:r w:rsidRPr="48FACCB2">
        <w:rPr>
          <w:rStyle w:val="FootnoteReference"/>
        </w:rPr>
        <w:footnoteRef/>
      </w:r>
      <w:r w:rsidRPr="48FACCB2">
        <w:t xml:space="preserve">  </w:t>
      </w:r>
      <w:r>
        <w:tab/>
      </w:r>
      <w:r w:rsidRPr="48FACCB2">
        <w:t xml:space="preserve">Law n°2024-850 from 25 July 2024 on the prevention of foreign interference. </w:t>
      </w:r>
    </w:p>
  </w:footnote>
  <w:footnote w:id="71">
    <w:p w14:paraId="639EA2EA" w14:textId="77777777" w:rsidR="00AD63B1" w:rsidRPr="009723EC" w:rsidRDefault="00AD63B1" w:rsidP="00792295">
      <w:pPr>
        <w:pStyle w:val="FootnoteRoLReport"/>
      </w:pPr>
      <w:r>
        <w:rPr>
          <w:rStyle w:val="FootnoteReference"/>
        </w:rPr>
        <w:t>6</w:t>
      </w:r>
      <w:r w:rsidRPr="00A3166B">
        <w:rPr>
          <w:vertAlign w:val="superscript"/>
        </w:rPr>
        <w:t>8</w:t>
      </w:r>
      <w:r w:rsidRPr="0013439A">
        <w:rPr>
          <w:rStyle w:val="FootnoteReference"/>
        </w:rPr>
        <w:t xml:space="preserve"> </w:t>
      </w:r>
      <w:r w:rsidRPr="00542D92">
        <w:tab/>
        <w:t>O</w:t>
      </w:r>
      <w:r>
        <w:t>n 12 December 2023, the Commission adopted a p</w:t>
      </w:r>
      <w:r w:rsidRPr="00B6781A">
        <w:t xml:space="preserve">roposal for a </w:t>
      </w:r>
      <w:r>
        <w:t>d</w:t>
      </w:r>
      <w:r w:rsidRPr="00B6781A">
        <w:t xml:space="preserve">irective on </w:t>
      </w:r>
      <w:r>
        <w:t>t</w:t>
      </w:r>
      <w:r w:rsidRPr="00B6781A">
        <w:t xml:space="preserve">ransparency of </w:t>
      </w:r>
      <w:r>
        <w:t>i</w:t>
      </w:r>
      <w:r w:rsidRPr="00B6781A">
        <w:t xml:space="preserve">nterest </w:t>
      </w:r>
      <w:r>
        <w:t>r</w:t>
      </w:r>
      <w:r w:rsidRPr="00B6781A">
        <w:t xml:space="preserve">epresentation on behalf of </w:t>
      </w:r>
      <w:r>
        <w:t>t</w:t>
      </w:r>
      <w:r w:rsidRPr="00B6781A">
        <w:t xml:space="preserve">hird </w:t>
      </w:r>
      <w:r>
        <w:t>c</w:t>
      </w:r>
      <w:r w:rsidRPr="00B6781A">
        <w:t>ountries</w:t>
      </w:r>
      <w:r>
        <w:t xml:space="preserve"> which aims are similar. This proposal is currently being negotiated. </w:t>
      </w:r>
    </w:p>
  </w:footnote>
  <w:footnote w:id="72">
    <w:p w14:paraId="57DCE284" w14:textId="77777777" w:rsidR="00AD63B1" w:rsidRDefault="00AD63B1" w:rsidP="00792295">
      <w:pPr>
        <w:pStyle w:val="FootnoteRoLReport"/>
      </w:pPr>
      <w:r w:rsidRPr="48FACCB2">
        <w:rPr>
          <w:rStyle w:val="FootnoteReference"/>
        </w:rPr>
        <w:footnoteRef/>
      </w:r>
      <w:r w:rsidRPr="48FACCB2">
        <w:t xml:space="preserve"> </w:t>
      </w:r>
      <w:r>
        <w:tab/>
      </w:r>
      <w:r w:rsidRPr="18570F0E">
        <w:t xml:space="preserve">Country visit France, HATVP. </w:t>
      </w:r>
      <w:r>
        <w:t>Nine</w:t>
      </w:r>
      <w:r w:rsidRPr="48FACCB2">
        <w:t xml:space="preserve"> entities </w:t>
      </w:r>
      <w:r>
        <w:t>were</w:t>
      </w:r>
      <w:r w:rsidRPr="48FACCB2">
        <w:t xml:space="preserve"> registered </w:t>
      </w:r>
      <w:r>
        <w:t>on 3 June</w:t>
      </w:r>
      <w:r w:rsidRPr="48FACCB2">
        <w:t xml:space="preserve"> 2026.</w:t>
      </w:r>
    </w:p>
  </w:footnote>
  <w:footnote w:id="73">
    <w:p w14:paraId="4FEAD74A" w14:textId="77777777" w:rsidR="00AD63B1" w:rsidRPr="00BA7688" w:rsidRDefault="00AD63B1" w:rsidP="00792295">
      <w:pPr>
        <w:pStyle w:val="FootnoteRoLReport"/>
      </w:pPr>
      <w:r w:rsidRPr="48FACCB2">
        <w:rPr>
          <w:rStyle w:val="FootnoteReference"/>
        </w:rPr>
        <w:footnoteRef/>
      </w:r>
      <w:r w:rsidRPr="48FACCB2">
        <w:t xml:space="preserve"> </w:t>
      </w:r>
      <w:r>
        <w:tab/>
      </w:r>
      <w:r w:rsidRPr="48FACCB2">
        <w:t>Country visit France, Deontologist of the National Assembly and Ethics Committee of the Senate.</w:t>
      </w:r>
    </w:p>
  </w:footnote>
  <w:footnote w:id="74">
    <w:p w14:paraId="7F521CF4" w14:textId="77777777" w:rsidR="00AD63B1" w:rsidRPr="00B53896" w:rsidRDefault="00AD63B1" w:rsidP="00792295">
      <w:pPr>
        <w:pStyle w:val="FootnoteRoLReport"/>
      </w:pPr>
      <w:r w:rsidRPr="48FACCB2">
        <w:rPr>
          <w:rStyle w:val="FootnoteReference"/>
        </w:rPr>
        <w:footnoteRef/>
      </w:r>
      <w:r w:rsidRPr="48FACCB2">
        <w:t xml:space="preserve"> </w:t>
      </w:r>
      <w:r>
        <w:tab/>
      </w:r>
      <w:r w:rsidRPr="48FACCB2">
        <w:t>Draft law n</w:t>
      </w:r>
      <w:r>
        <w:t>°</w:t>
      </w:r>
      <w:r w:rsidRPr="48FACCB2">
        <w:t xml:space="preserve"> 834 presented at the Senate on 5 July 2023 and draft law n</w:t>
      </w:r>
      <w:r>
        <w:t>°</w:t>
      </w:r>
      <w:r w:rsidRPr="48FACCB2">
        <w:t xml:space="preserve"> 1577 presented on the same date at the National Assembly. The latter has become obsolete.</w:t>
      </w:r>
    </w:p>
  </w:footnote>
  <w:footnote w:id="75">
    <w:p w14:paraId="0C2DAC23" w14:textId="77777777" w:rsidR="00AD63B1" w:rsidRPr="00D17441" w:rsidRDefault="00AD63B1" w:rsidP="00792295">
      <w:pPr>
        <w:pStyle w:val="FootnoteRoLReport"/>
      </w:pPr>
      <w:r w:rsidRPr="48FACCB2">
        <w:rPr>
          <w:rStyle w:val="FootnoteReference"/>
        </w:rPr>
        <w:footnoteRef/>
      </w:r>
      <w:r w:rsidRPr="48FACCB2">
        <w:t xml:space="preserve"> </w:t>
      </w:r>
      <w:r>
        <w:tab/>
      </w:r>
      <w:r w:rsidRPr="48FACCB2">
        <w:t>Draft law n</w:t>
      </w:r>
      <w:r>
        <w:t>°</w:t>
      </w:r>
      <w:r w:rsidRPr="48FACCB2">
        <w:t xml:space="preserve"> 1516 on reinforcing the transparency of interest representatives presented on 4 June 2025.</w:t>
      </w:r>
      <w:r>
        <w:t xml:space="preserve"> It mirrors the precedent draft law in proposing to strengthen the transparency of the activities of interests’ representatives and addresses some issues faced by the HATVP in implementing the current system. </w:t>
      </w:r>
    </w:p>
  </w:footnote>
  <w:footnote w:id="76">
    <w:p w14:paraId="4F3178FB" w14:textId="77777777" w:rsidR="00AD63B1" w:rsidRDefault="00AD63B1" w:rsidP="00792295">
      <w:pPr>
        <w:pStyle w:val="FootnoteRoLReport"/>
      </w:pPr>
      <w:r w:rsidRPr="48FACCB2">
        <w:rPr>
          <w:rStyle w:val="FootnoteReference"/>
        </w:rPr>
        <w:footnoteRef/>
      </w:r>
      <w:r w:rsidRPr="48FACCB2">
        <w:t xml:space="preserve"> </w:t>
      </w:r>
      <w:r>
        <w:t xml:space="preserve"> </w:t>
      </w:r>
      <w:r>
        <w:tab/>
      </w:r>
      <w:r w:rsidRPr="30D165C7">
        <w:t xml:space="preserve">Country </w:t>
      </w:r>
      <w:r>
        <w:t>v</w:t>
      </w:r>
      <w:r w:rsidRPr="30D165C7">
        <w:t xml:space="preserve">isit France, Government. </w:t>
      </w:r>
      <w:r w:rsidRPr="48FACCB2">
        <w:t xml:space="preserve">The ethics guide is available on the website of the </w:t>
      </w:r>
      <w:r>
        <w:tab/>
      </w:r>
      <w:r w:rsidRPr="48FACCB2">
        <w:t>Presidency.</w:t>
      </w:r>
    </w:p>
  </w:footnote>
  <w:footnote w:id="77">
    <w:p w14:paraId="37FB0CDA" w14:textId="77777777" w:rsidR="00AD63B1" w:rsidRPr="00E6006E" w:rsidRDefault="00AD63B1" w:rsidP="00792295">
      <w:pPr>
        <w:pStyle w:val="FootnoteRoLReport"/>
      </w:pPr>
      <w:r>
        <w:rPr>
          <w:rStyle w:val="FootnoteReference"/>
        </w:rPr>
        <w:footnoteRef/>
      </w:r>
      <w:r>
        <w:t xml:space="preserve">  </w:t>
      </w:r>
      <w:r>
        <w:tab/>
      </w:r>
      <w:r w:rsidRPr="30D165C7">
        <w:t xml:space="preserve">Country </w:t>
      </w:r>
      <w:r>
        <w:t>v</w:t>
      </w:r>
      <w:r w:rsidRPr="30D165C7">
        <w:t>isit France</w:t>
      </w:r>
      <w:r>
        <w:t xml:space="preserve">, </w:t>
      </w:r>
      <w:r w:rsidRPr="48FACCB2">
        <w:t>Ethics Committee of the Senate</w:t>
      </w:r>
      <w:r>
        <w:t xml:space="preserve">. </w:t>
      </w:r>
    </w:p>
  </w:footnote>
  <w:footnote w:id="78">
    <w:p w14:paraId="3528CE9A" w14:textId="77777777" w:rsidR="00AD63B1" w:rsidRPr="00EA4E31" w:rsidRDefault="00AD63B1" w:rsidP="00792295">
      <w:pPr>
        <w:pStyle w:val="FootnoteRoLReport"/>
      </w:pPr>
      <w:r>
        <w:rPr>
          <w:rStyle w:val="FootnoteReference"/>
        </w:rPr>
        <w:footnoteRef/>
      </w:r>
      <w:r>
        <w:t xml:space="preserve">  </w:t>
      </w:r>
      <w:r>
        <w:tab/>
        <w:t xml:space="preserve">Country visit France, </w:t>
      </w:r>
      <w:r w:rsidRPr="48FACCB2">
        <w:t>Deontologist of the National Assembly</w:t>
      </w:r>
      <w:r>
        <w:t>.</w:t>
      </w:r>
    </w:p>
  </w:footnote>
  <w:footnote w:id="79">
    <w:p w14:paraId="798AC7C1" w14:textId="77777777" w:rsidR="00AD63B1" w:rsidRPr="005546F1" w:rsidRDefault="00AD63B1" w:rsidP="00792295">
      <w:pPr>
        <w:pStyle w:val="FootnoteRoLReport"/>
      </w:pPr>
      <w:r>
        <w:rPr>
          <w:rStyle w:val="FootnoteReference"/>
        </w:rPr>
        <w:footnoteRef/>
      </w:r>
      <w:r>
        <w:t xml:space="preserve">  </w:t>
      </w:r>
      <w:r>
        <w:tab/>
      </w:r>
      <w:r w:rsidRPr="48FACCB2">
        <w:t>Country visit France, Deontologist of the National Assembly and Ethics Committee of the Senate.</w:t>
      </w:r>
    </w:p>
  </w:footnote>
  <w:footnote w:id="80">
    <w:p w14:paraId="5C1E20D6" w14:textId="77777777" w:rsidR="00AD63B1" w:rsidRPr="00F36AF2" w:rsidRDefault="00AD63B1" w:rsidP="00792295">
      <w:pPr>
        <w:pStyle w:val="FootnoteRoLReport"/>
      </w:pPr>
      <w:r>
        <w:rPr>
          <w:rStyle w:val="FootnoteReference"/>
        </w:rPr>
        <w:footnoteRef/>
      </w:r>
      <w:r>
        <w:t xml:space="preserve">  </w:t>
      </w:r>
      <w:r>
        <w:tab/>
        <w:t>Country visit France, CNCCFP.</w:t>
      </w:r>
    </w:p>
  </w:footnote>
  <w:footnote w:id="81">
    <w:p w14:paraId="0ADE96F9" w14:textId="77777777" w:rsidR="00AD63B1" w:rsidRDefault="00AD63B1" w:rsidP="00792295">
      <w:pPr>
        <w:pStyle w:val="FootnoteRoLReport"/>
      </w:pPr>
      <w:r w:rsidRPr="48FACCB2">
        <w:rPr>
          <w:rStyle w:val="FootnoteReference"/>
        </w:rPr>
        <w:footnoteRef/>
      </w:r>
      <w:r w:rsidRPr="48FACCB2">
        <w:t xml:space="preserve"> </w:t>
      </w:r>
      <w:r>
        <w:tab/>
      </w:r>
      <w:r w:rsidRPr="48FACCB2">
        <w:t>French Government (2026), written input, p. 20 (IGPN) and p. 21 (IGGN).</w:t>
      </w:r>
    </w:p>
  </w:footnote>
  <w:footnote w:id="82">
    <w:p w14:paraId="18529125" w14:textId="77777777" w:rsidR="00AD63B1" w:rsidRDefault="00AD63B1" w:rsidP="00792295">
      <w:pPr>
        <w:pStyle w:val="FootnoteRoLReport"/>
      </w:pPr>
      <w:r w:rsidRPr="48FACCB2">
        <w:rPr>
          <w:rStyle w:val="FootnoteReference"/>
        </w:rPr>
        <w:footnoteRef/>
      </w:r>
      <w:r w:rsidRPr="48FACCB2">
        <w:t xml:space="preserve"> </w:t>
      </w:r>
      <w:r>
        <w:tab/>
      </w:r>
      <w:r w:rsidRPr="48FACCB2">
        <w:t>French Government (2026), written input, p. 31.</w:t>
      </w:r>
    </w:p>
  </w:footnote>
  <w:footnote w:id="83">
    <w:p w14:paraId="3297053E" w14:textId="77777777" w:rsidR="00AD63B1" w:rsidRDefault="00AD63B1" w:rsidP="00792295">
      <w:pPr>
        <w:pStyle w:val="FootnoteRoLReport"/>
      </w:pPr>
      <w:r w:rsidRPr="48FACCB2">
        <w:rPr>
          <w:rStyle w:val="FootnoteReference"/>
        </w:rPr>
        <w:footnoteRef/>
      </w:r>
      <w:r w:rsidRPr="48FACCB2">
        <w:t xml:space="preserve"> </w:t>
      </w:r>
      <w:r>
        <w:tab/>
      </w:r>
      <w:r w:rsidRPr="48FACCB2">
        <w:t>French Government (2026), written input</w:t>
      </w:r>
      <w:r w:rsidRPr="30D165C7">
        <w:t>, p</w:t>
      </w:r>
      <w:r>
        <w:t>p</w:t>
      </w:r>
      <w:r w:rsidRPr="30D165C7">
        <w:t>.</w:t>
      </w:r>
      <w:r>
        <w:t xml:space="preserve"> </w:t>
      </w:r>
      <w:r w:rsidRPr="30D165C7">
        <w:t>8</w:t>
      </w:r>
      <w:r>
        <w:t>-</w:t>
      </w:r>
      <w:r w:rsidRPr="30D165C7">
        <w:t>9</w:t>
      </w:r>
      <w:r>
        <w:t>,</w:t>
      </w:r>
      <w:r w:rsidRPr="30D165C7">
        <w:t xml:space="preserve"> and </w:t>
      </w:r>
      <w:r>
        <w:t>C</w:t>
      </w:r>
      <w:r w:rsidRPr="30D165C7">
        <w:t xml:space="preserve">ountry visit France, </w:t>
      </w:r>
      <w:r>
        <w:t>HCJ</w:t>
      </w:r>
      <w:r w:rsidRPr="30D165C7">
        <w:t>.</w:t>
      </w:r>
      <w:r>
        <w:t xml:space="preserve"> </w:t>
      </w:r>
      <w:r w:rsidRPr="48FACCB2">
        <w:t>Ethics principles were until then listed in the Collection of Ethics obligations for Magistrates published in 2010. The Charter remains a non-binding instrument. As prescribe</w:t>
      </w:r>
      <w:r>
        <w:t>d</w:t>
      </w:r>
      <w:r w:rsidRPr="48FACCB2">
        <w:t xml:space="preserve"> by Law </w:t>
      </w:r>
      <w:r>
        <w:t>n</w:t>
      </w:r>
      <w:r w:rsidRPr="48FACCB2">
        <w:t xml:space="preserve">° 2023-1058 of 20 November 2023, </w:t>
      </w:r>
      <w:r>
        <w:t>it was</w:t>
      </w:r>
      <w:r w:rsidRPr="48FACCB2">
        <w:t xml:space="preserve"> drafted after </w:t>
      </w:r>
      <w:r>
        <w:t>broad</w:t>
      </w:r>
      <w:r w:rsidRPr="48FACCB2">
        <w:t xml:space="preserve"> consultations. </w:t>
      </w:r>
    </w:p>
  </w:footnote>
  <w:footnote w:id="84">
    <w:p w14:paraId="66B0FC54" w14:textId="77777777" w:rsidR="00AD63B1" w:rsidRDefault="00AD63B1" w:rsidP="00792295">
      <w:pPr>
        <w:pStyle w:val="FootnoteRoLReport"/>
        <w:rPr>
          <w:lang w:val="bg-BG"/>
        </w:rPr>
      </w:pPr>
      <w:r w:rsidRPr="48FACCB2">
        <w:rPr>
          <w:rStyle w:val="FootnoteReference"/>
        </w:rPr>
        <w:footnoteRef/>
      </w:r>
      <w:r w:rsidRPr="48FACCB2">
        <w:t xml:space="preserve"> </w:t>
      </w:r>
      <w:r>
        <w:tab/>
        <w:t>HCJ (202</w:t>
      </w:r>
      <w:r w:rsidRPr="0009027C">
        <w:t>6</w:t>
      </w:r>
      <w:r>
        <w:t>)</w:t>
      </w:r>
      <w:r w:rsidRPr="0009027C">
        <w:t xml:space="preserve">, p. 60: In </w:t>
      </w:r>
      <w:r w:rsidRPr="0009027C">
        <w:rPr>
          <w:lang w:val="bg-BG"/>
        </w:rPr>
        <w:t>202</w:t>
      </w:r>
      <w:r w:rsidRPr="0009027C">
        <w:t>5</w:t>
      </w:r>
      <w:r w:rsidRPr="0009027C">
        <w:rPr>
          <w:lang w:val="bg-BG"/>
        </w:rPr>
        <w:t xml:space="preserve">, </w:t>
      </w:r>
      <w:r w:rsidRPr="0009027C">
        <w:t xml:space="preserve">the SAVD received </w:t>
      </w:r>
      <w:r w:rsidRPr="0009027C">
        <w:rPr>
          <w:lang w:val="bg-BG"/>
        </w:rPr>
        <w:t>12</w:t>
      </w:r>
      <w:r w:rsidRPr="0009027C">
        <w:t>4</w:t>
      </w:r>
      <w:r w:rsidRPr="00A4164D">
        <w:rPr>
          <w:lang w:val="bg-BG"/>
        </w:rPr>
        <w:t xml:space="preserve"> </w:t>
      </w:r>
      <w:r w:rsidRPr="00A4164D">
        <w:t xml:space="preserve">requests, compared to 119 in 2024, 112 in 2023 and </w:t>
      </w:r>
      <w:r w:rsidRPr="00A4164D">
        <w:rPr>
          <w:lang w:val="bg-BG"/>
        </w:rPr>
        <w:t xml:space="preserve">74 </w:t>
      </w:r>
      <w:r w:rsidRPr="00A4164D">
        <w:t xml:space="preserve">in </w:t>
      </w:r>
      <w:r w:rsidRPr="00A4164D">
        <w:rPr>
          <w:lang w:val="bg-BG"/>
        </w:rPr>
        <w:t>2022.</w:t>
      </w:r>
    </w:p>
  </w:footnote>
  <w:footnote w:id="85">
    <w:p w14:paraId="2ECD166E" w14:textId="77777777" w:rsidR="00AD63B1" w:rsidRDefault="00AD63B1" w:rsidP="00792295">
      <w:pPr>
        <w:pStyle w:val="FootnoteRoLReport"/>
      </w:pPr>
      <w:r w:rsidRPr="48FACCB2">
        <w:rPr>
          <w:rStyle w:val="FootnoteReference"/>
        </w:rPr>
        <w:footnoteRef/>
      </w:r>
      <w:r w:rsidRPr="30D165C7">
        <w:t xml:space="preserve"> </w:t>
      </w:r>
      <w:r>
        <w:tab/>
        <w:t>AFA website.</w:t>
      </w:r>
      <w:r w:rsidRPr="48FACCB2">
        <w:t xml:space="preserve"> Possible areas of improvement have been identified such as reinforcing training on ethics or developing a network of professionals, Symposium “Alerts: key tools to fight corruption”, summary of the panel “Challenges for the collection and handling of internal alerts by public actors”.  </w:t>
      </w:r>
    </w:p>
  </w:footnote>
  <w:footnote w:id="86">
    <w:p w14:paraId="0CE253BA" w14:textId="77777777" w:rsidR="00AD63B1" w:rsidRDefault="00AD63B1" w:rsidP="00792295">
      <w:pPr>
        <w:pStyle w:val="FootnoteRoLReport"/>
      </w:pPr>
      <w:r w:rsidRPr="48FACCB2">
        <w:rPr>
          <w:rStyle w:val="FootnoteReference"/>
        </w:rPr>
        <w:footnoteRef/>
      </w:r>
      <w:r w:rsidRPr="48FACCB2">
        <w:t xml:space="preserve"> </w:t>
      </w:r>
      <w:r>
        <w:tab/>
        <w:t xml:space="preserve">Defender of Rights (2025a), p. 120. </w:t>
      </w:r>
      <w:r w:rsidRPr="48FACCB2">
        <w:t xml:space="preserve">The number of reports received by the </w:t>
      </w:r>
      <w:r w:rsidRPr="30D165C7">
        <w:t>Defen</w:t>
      </w:r>
      <w:r>
        <w:t>d</w:t>
      </w:r>
      <w:r w:rsidRPr="30D165C7">
        <w:t>er</w:t>
      </w:r>
      <w:r w:rsidRPr="48FACCB2">
        <w:t xml:space="preserve"> of Rights went </w:t>
      </w:r>
      <w:r w:rsidRPr="00FC78EA">
        <w:t>from 519 in 2024 to 900</w:t>
      </w:r>
      <w:r w:rsidRPr="48FACCB2">
        <w:t xml:space="preserve"> in 2025, around 20% of them being corruption-related reports</w:t>
      </w:r>
      <w:r w:rsidRPr="00FC78EA">
        <w:t xml:space="preserve">. </w:t>
      </w:r>
    </w:p>
  </w:footnote>
  <w:footnote w:id="87">
    <w:p w14:paraId="61B2D146" w14:textId="77777777" w:rsidR="00AD63B1" w:rsidRDefault="00AD63B1" w:rsidP="00792295">
      <w:pPr>
        <w:pStyle w:val="FootnoteRoLReport"/>
      </w:pPr>
      <w:r w:rsidRPr="48FACCB2">
        <w:rPr>
          <w:rStyle w:val="FootnoteReference"/>
        </w:rPr>
        <w:footnoteRef/>
      </w:r>
      <w:r w:rsidRPr="48FACCB2">
        <w:t xml:space="preserve"> </w:t>
      </w:r>
      <w:r>
        <w:tab/>
      </w:r>
      <w:r w:rsidRPr="48FACCB2">
        <w:t>Country visit France, Defender of Rights, Transparency International -</w:t>
      </w:r>
      <w:r>
        <w:t xml:space="preserve"> </w:t>
      </w:r>
      <w:r w:rsidRPr="48FACCB2">
        <w:t xml:space="preserve">France and Anticor. The Defender of Rights </w:t>
      </w:r>
      <w:r>
        <w:t>welcomed</w:t>
      </w:r>
      <w:r w:rsidRPr="48FACCB2">
        <w:t xml:space="preserve"> the awareness raising activities, </w:t>
      </w:r>
      <w:r>
        <w:t>which could</w:t>
      </w:r>
      <w:r w:rsidRPr="48FACCB2">
        <w:t xml:space="preserve"> increase </w:t>
      </w:r>
      <w:r>
        <w:t>the number of</w:t>
      </w:r>
      <w:r w:rsidRPr="48FACCB2">
        <w:t xml:space="preserve"> alerts</w:t>
      </w:r>
      <w:r>
        <w:t>, requiring a possible increase of resources for</w:t>
      </w:r>
      <w:r w:rsidRPr="48FACCB2">
        <w:t xml:space="preserve"> organisations in charge of </w:t>
      </w:r>
      <w:r>
        <w:t>w</w:t>
      </w:r>
      <w:r w:rsidRPr="48FACCB2">
        <w:t>histleblowers.</w:t>
      </w:r>
    </w:p>
  </w:footnote>
  <w:footnote w:id="88">
    <w:p w14:paraId="241347F1" w14:textId="77777777" w:rsidR="00AD63B1" w:rsidRDefault="00AD63B1" w:rsidP="00792295">
      <w:pPr>
        <w:pStyle w:val="FootnoteRoLReport"/>
      </w:pPr>
      <w:r>
        <w:rPr>
          <w:rStyle w:val="FootnoteReference"/>
        </w:rPr>
        <w:footnoteRef/>
      </w:r>
      <w:r>
        <w:t xml:space="preserve"> </w:t>
      </w:r>
      <w:r w:rsidRPr="001209B4">
        <w:tab/>
        <w:t xml:space="preserve">Country </w:t>
      </w:r>
      <w:r>
        <w:t>v</w:t>
      </w:r>
      <w:r w:rsidRPr="001209B4">
        <w:t>isit France, G</w:t>
      </w:r>
      <w:r>
        <w:t>o</w:t>
      </w:r>
      <w:r w:rsidRPr="001209B4">
        <w:t>vernment.</w:t>
      </w:r>
      <w:r>
        <w:t xml:space="preserve"> </w:t>
      </w:r>
    </w:p>
  </w:footnote>
  <w:footnote w:id="89">
    <w:p w14:paraId="12BBB668" w14:textId="77777777" w:rsidR="00AD63B1" w:rsidRDefault="00AD63B1" w:rsidP="00792295">
      <w:pPr>
        <w:pStyle w:val="FootnoteRoLReport"/>
      </w:pPr>
      <w:r w:rsidRPr="48FACCB2">
        <w:rPr>
          <w:rStyle w:val="FootnoteReference"/>
        </w:rPr>
        <w:footnoteRef/>
      </w:r>
      <w:r w:rsidRPr="48FACCB2">
        <w:t xml:space="preserve"> </w:t>
      </w:r>
      <w:r>
        <w:tab/>
      </w:r>
      <w:r w:rsidRPr="48FACCB2">
        <w:t>Figure 59, 202</w:t>
      </w:r>
      <w:r>
        <w:t>6</w:t>
      </w:r>
      <w:r w:rsidRPr="48FACCB2">
        <w:t xml:space="preserve"> EU Justice Scoreboard.</w:t>
      </w:r>
    </w:p>
  </w:footnote>
  <w:footnote w:id="90">
    <w:p w14:paraId="46515CB1" w14:textId="5F5656C7" w:rsidR="00AD63B1" w:rsidRPr="00BE4534" w:rsidRDefault="00AD63B1" w:rsidP="00792295">
      <w:pPr>
        <w:pStyle w:val="FootnoteRoLReport"/>
      </w:pPr>
      <w:r>
        <w:rPr>
          <w:rStyle w:val="FootnoteReference"/>
        </w:rPr>
        <w:footnoteRef/>
      </w:r>
      <w:r>
        <w:t xml:space="preserve"> </w:t>
      </w:r>
      <w:r>
        <w:tab/>
        <w:t>NACP, objective 2, measures 8 to 13.</w:t>
      </w:r>
    </w:p>
  </w:footnote>
  <w:footnote w:id="91">
    <w:p w14:paraId="3A5DD2E2" w14:textId="77777777" w:rsidR="00AD63B1" w:rsidRDefault="00AD63B1" w:rsidP="00792295">
      <w:pPr>
        <w:pStyle w:val="FootnoteRoLReport"/>
      </w:pPr>
      <w:r w:rsidRPr="48FACCB2">
        <w:rPr>
          <w:rStyle w:val="FootnoteReference"/>
        </w:rPr>
        <w:footnoteRef/>
      </w:r>
      <w:r w:rsidRPr="48FACCB2">
        <w:t xml:space="preserve"> </w:t>
      </w:r>
      <w:r>
        <w:tab/>
        <w:t>NACP</w:t>
      </w:r>
      <w:r w:rsidRPr="48FACCB2">
        <w:t>, measures 4, 6, 26, 27 and 28.</w:t>
      </w:r>
    </w:p>
  </w:footnote>
  <w:footnote w:id="92">
    <w:p w14:paraId="3C70071C" w14:textId="77777777" w:rsidR="00AD63B1" w:rsidRDefault="00AD63B1" w:rsidP="00792295">
      <w:pPr>
        <w:pStyle w:val="FootnoteRoLReport"/>
      </w:pPr>
      <w:r w:rsidRPr="48FACCB2">
        <w:rPr>
          <w:rStyle w:val="FootnoteReference"/>
        </w:rPr>
        <w:footnoteRef/>
      </w:r>
      <w:r w:rsidRPr="48FACCB2">
        <w:t xml:space="preserve"> </w:t>
      </w:r>
      <w:r>
        <w:tab/>
      </w:r>
      <w:r w:rsidRPr="48FACCB2">
        <w:t xml:space="preserve">Decree n° 2025-1386 of 29 December 2025 modifying some thresholds in public </w:t>
      </w:r>
      <w:r w:rsidRPr="30D165C7">
        <w:t>procurem</w:t>
      </w:r>
      <w:r>
        <w:t>ent.</w:t>
      </w:r>
    </w:p>
  </w:footnote>
  <w:footnote w:id="93">
    <w:p w14:paraId="30CDA34D" w14:textId="77777777" w:rsidR="00AD63B1" w:rsidRDefault="00AD63B1" w:rsidP="00792295">
      <w:pPr>
        <w:pStyle w:val="FootnoteRoLReport"/>
      </w:pPr>
      <w:r w:rsidRPr="48FACCB2">
        <w:rPr>
          <w:rStyle w:val="FootnoteReference"/>
        </w:rPr>
        <w:footnoteRef/>
      </w:r>
      <w:r w:rsidRPr="48FACCB2">
        <w:t xml:space="preserve"> </w:t>
      </w:r>
      <w:r>
        <w:tab/>
        <w:t>The t</w:t>
      </w:r>
      <w:r w:rsidRPr="30D165C7">
        <w:t>hreshold</w:t>
      </w:r>
      <w:r w:rsidRPr="48FACCB2">
        <w:t xml:space="preserve"> increased from </w:t>
      </w:r>
      <w:r>
        <w:t>EUR</w:t>
      </w:r>
      <w:r w:rsidRPr="48FACCB2">
        <w:t xml:space="preserve"> 40</w:t>
      </w:r>
      <w:r>
        <w:t> </w:t>
      </w:r>
      <w:r w:rsidRPr="48FACCB2">
        <w:t>000 to 60</w:t>
      </w:r>
      <w:r>
        <w:t> </w:t>
      </w:r>
      <w:r w:rsidRPr="48FACCB2">
        <w:t>000.</w:t>
      </w:r>
    </w:p>
  </w:footnote>
  <w:footnote w:id="94">
    <w:p w14:paraId="5BFE8A8D" w14:textId="77777777" w:rsidR="00AD63B1" w:rsidRDefault="00AD63B1" w:rsidP="00792295">
      <w:pPr>
        <w:pStyle w:val="FootnoteRoLReport"/>
      </w:pPr>
      <w:r w:rsidRPr="48FACCB2">
        <w:rPr>
          <w:rStyle w:val="FootnoteReference"/>
        </w:rPr>
        <w:footnoteRef/>
      </w:r>
      <w:r w:rsidRPr="48FACCB2">
        <w:t xml:space="preserve"> </w:t>
      </w:r>
      <w:r>
        <w:tab/>
      </w:r>
      <w:r w:rsidRPr="48FACCB2">
        <w:t xml:space="preserve">The threshold of </w:t>
      </w:r>
      <w:r>
        <w:t xml:space="preserve">EUR </w:t>
      </w:r>
      <w:r w:rsidRPr="48FACCB2">
        <w:t>100</w:t>
      </w:r>
      <w:r>
        <w:t> </w:t>
      </w:r>
      <w:r w:rsidRPr="48FACCB2">
        <w:t>000 that had been provisionally set in 2020 (until 2022) has been confirmed.</w:t>
      </w:r>
    </w:p>
  </w:footnote>
  <w:footnote w:id="95">
    <w:p w14:paraId="4F162B4C" w14:textId="77777777" w:rsidR="00AD63B1" w:rsidRDefault="00AD63B1" w:rsidP="00792295">
      <w:pPr>
        <w:pStyle w:val="FootnoteRoLReport"/>
      </w:pPr>
      <w:r w:rsidRPr="48FACCB2">
        <w:rPr>
          <w:rStyle w:val="FootnoteReference"/>
        </w:rPr>
        <w:footnoteRef/>
      </w:r>
      <w:r w:rsidRPr="48FACCB2">
        <w:t xml:space="preserve"> </w:t>
      </w:r>
      <w:r>
        <w:t xml:space="preserve"> </w:t>
      </w:r>
      <w:r>
        <w:tab/>
        <w:t xml:space="preserve">Transparency International, written input, p. 25. </w:t>
      </w:r>
      <w:r w:rsidRPr="48FACCB2">
        <w:t xml:space="preserve">Country visit France, Anticor and </w:t>
      </w:r>
      <w:r w:rsidRPr="30D165C7">
        <w:t>T</w:t>
      </w:r>
      <w:r>
        <w:t>ransparency International</w:t>
      </w:r>
      <w:r w:rsidRPr="30D165C7">
        <w:t xml:space="preserve"> France. CSOs raised concerns on these measures.</w:t>
      </w:r>
    </w:p>
  </w:footnote>
  <w:footnote w:id="96">
    <w:p w14:paraId="2087E7EA" w14:textId="77777777" w:rsidR="00AD63B1" w:rsidRPr="001209B4" w:rsidRDefault="00AD63B1" w:rsidP="00792295">
      <w:pPr>
        <w:pStyle w:val="FootnoteRoLReport"/>
      </w:pPr>
      <w:r>
        <w:rPr>
          <w:rStyle w:val="FootnoteReference"/>
        </w:rPr>
        <w:footnoteRef/>
      </w:r>
      <w:r>
        <w:t xml:space="preserve"> </w:t>
      </w:r>
      <w:r w:rsidRPr="001209B4">
        <w:tab/>
        <w:t xml:space="preserve">Country </w:t>
      </w:r>
      <w:r>
        <w:t>v</w:t>
      </w:r>
      <w:r w:rsidRPr="001209B4">
        <w:t>isit Fr</w:t>
      </w:r>
      <w:r>
        <w:t>ance,</w:t>
      </w:r>
      <w:r w:rsidRPr="001209B4">
        <w:t xml:space="preserve"> G</w:t>
      </w:r>
      <w:r>
        <w:t>o</w:t>
      </w:r>
      <w:r w:rsidRPr="001209B4">
        <w:t>vernment.</w:t>
      </w:r>
      <w:r>
        <w:t xml:space="preserve"> </w:t>
      </w:r>
    </w:p>
  </w:footnote>
  <w:footnote w:id="97">
    <w:p w14:paraId="18D8C5AA" w14:textId="77777777" w:rsidR="00AD63B1" w:rsidRPr="0080049E" w:rsidRDefault="00AD63B1" w:rsidP="00792295">
      <w:pPr>
        <w:pStyle w:val="FootnoteRoLReport"/>
      </w:pPr>
      <w:r>
        <w:rPr>
          <w:rStyle w:val="FootnoteReference"/>
        </w:rPr>
        <w:footnoteRef/>
      </w:r>
      <w:r>
        <w:t xml:space="preserve"> </w:t>
      </w:r>
      <w:r>
        <w:tab/>
      </w:r>
      <w:r w:rsidRPr="0048607A">
        <w:t>ARCOM also exercises competences under Regulation (EU) 2022/2065 (Digital Services Act) and Regulation (EU) 2024/900 on political advertising</w:t>
      </w:r>
      <w:r>
        <w:t>.</w:t>
      </w:r>
    </w:p>
  </w:footnote>
  <w:footnote w:id="98">
    <w:p w14:paraId="4F23D370" w14:textId="77777777" w:rsidR="00AD63B1" w:rsidRPr="00BE49C7" w:rsidRDefault="00AD63B1" w:rsidP="00792295">
      <w:pPr>
        <w:pStyle w:val="FootnoteRoLReport"/>
      </w:pPr>
      <w:r w:rsidRPr="00442513">
        <w:rPr>
          <w:rStyle w:val="FootnoteReference"/>
        </w:rPr>
        <w:footnoteRef/>
      </w:r>
      <w:r w:rsidRPr="00442513">
        <w:t xml:space="preserve"> </w:t>
      </w:r>
      <w:r>
        <w:tab/>
        <w:t>Government</w:t>
      </w:r>
      <w:r w:rsidRPr="00442513">
        <w:t xml:space="preserve"> </w:t>
      </w:r>
      <w:r>
        <w:t>a</w:t>
      </w:r>
      <w:r w:rsidRPr="00442513">
        <w:t>im</w:t>
      </w:r>
      <w:r>
        <w:t>s</w:t>
      </w:r>
      <w:r w:rsidRPr="00442513">
        <w:t xml:space="preserve"> to grant ARCOM new competences to ensure the effective implementation of the Regulation, notably with regard to the oversight of media concentration from a pluralism perspective, the</w:t>
      </w:r>
      <w:r>
        <w:t xml:space="preserve"> </w:t>
      </w:r>
      <w:r w:rsidRPr="00442513">
        <w:t xml:space="preserve">development of a media ownership transparency database, the regulation of user interface personalisation, and the transparency of </w:t>
      </w:r>
      <w:r>
        <w:t>s</w:t>
      </w:r>
      <w:r w:rsidRPr="00442513">
        <w:t>tate advertising.</w:t>
      </w:r>
      <w:r>
        <w:t xml:space="preserve"> French Government (2026), written </w:t>
      </w:r>
      <w:r w:rsidRPr="009723EC">
        <w:t>input, p. 35.</w:t>
      </w:r>
    </w:p>
  </w:footnote>
  <w:footnote w:id="99">
    <w:p w14:paraId="2C7350DF" w14:textId="77777777" w:rsidR="00AD63B1" w:rsidRPr="00755829" w:rsidRDefault="00AD63B1" w:rsidP="00792295">
      <w:pPr>
        <w:pStyle w:val="FootnoteRoLReport"/>
      </w:pPr>
      <w:r>
        <w:rPr>
          <w:rStyle w:val="FootnoteReference"/>
        </w:rPr>
        <w:footnoteRef/>
      </w:r>
      <w:r>
        <w:t xml:space="preserve"> </w:t>
      </w:r>
      <w:r>
        <w:tab/>
      </w:r>
      <w:r w:rsidRPr="00755829">
        <w:t xml:space="preserve">Reference to this draft </w:t>
      </w:r>
      <w:r>
        <w:t>law</w:t>
      </w:r>
      <w:r w:rsidRPr="00755829">
        <w:t xml:space="preserve"> is made in the last paragraph of this </w:t>
      </w:r>
      <w:r>
        <w:t>section</w:t>
      </w:r>
      <w:r w:rsidRPr="00755829">
        <w:t>. It seeks to address persistent difficulties faced by publishers in obtaining fair remuneration from online platforms for the use of their press content.</w:t>
      </w:r>
    </w:p>
  </w:footnote>
  <w:footnote w:id="100">
    <w:p w14:paraId="5EF2450A" w14:textId="77777777" w:rsidR="00AD63B1" w:rsidRPr="00E8756E" w:rsidRDefault="00AD63B1" w:rsidP="00792295">
      <w:pPr>
        <w:pStyle w:val="FootnoteRoLReport"/>
      </w:pPr>
      <w:r>
        <w:rPr>
          <w:rStyle w:val="FootnoteReference"/>
        </w:rPr>
        <w:footnoteRef/>
      </w:r>
      <w:r>
        <w:t xml:space="preserve"> </w:t>
      </w:r>
      <w:r>
        <w:tab/>
      </w:r>
      <w:r w:rsidRPr="0022730D">
        <w:t>Regulation (EU) 2024/1689 of the European Parliament and of the Council of 13 June 2024.</w:t>
      </w:r>
    </w:p>
  </w:footnote>
  <w:footnote w:id="101">
    <w:p w14:paraId="0F4F7C29" w14:textId="77777777" w:rsidR="00AD63B1" w:rsidRPr="007909A2" w:rsidRDefault="00AD63B1" w:rsidP="00792295">
      <w:pPr>
        <w:pStyle w:val="FootnoteRoLReport"/>
        <w:rPr>
          <w:lang w:val="en-IE"/>
        </w:rPr>
      </w:pPr>
      <w:r w:rsidRPr="00442513">
        <w:rPr>
          <w:rStyle w:val="FootnoteReference"/>
        </w:rPr>
        <w:footnoteRef/>
      </w:r>
      <w:r>
        <w:tab/>
      </w:r>
      <w:r w:rsidRPr="00442513">
        <w:t>Country visit France, ARCOM and Ministry of Culture</w:t>
      </w:r>
      <w:r>
        <w:t xml:space="preserve">. </w:t>
      </w:r>
      <w:r w:rsidRPr="002D7423">
        <w:t>According to the Ministry of Culture (not responsible for these appropriations</w:t>
      </w:r>
      <w:r>
        <w:t xml:space="preserve">, </w:t>
      </w:r>
      <w:r w:rsidRPr="00195B75">
        <w:t xml:space="preserve">ARCOM being an independent authority funded from the </w:t>
      </w:r>
      <w:r>
        <w:t>s</w:t>
      </w:r>
      <w:r w:rsidRPr="00195B75">
        <w:t>tate budget</w:t>
      </w:r>
      <w:r w:rsidRPr="002D7423">
        <w:t>), ARCOM’s budget (voted in the initial finance law) remains broadly stable between 2025 and 2026 (</w:t>
      </w:r>
      <w:r>
        <w:t xml:space="preserve">with </w:t>
      </w:r>
      <w:r w:rsidRPr="002D7423">
        <w:t>an increase of 0.2%), following a decrease of 2% between 2024 and 2025. Over the period 2024–2026, ARCOM’s staffing ceiling has been reduced by 2 full-time equivalent posts</w:t>
      </w:r>
      <w:r>
        <w:t xml:space="preserve"> (</w:t>
      </w:r>
      <w:r w:rsidRPr="00EB7A90">
        <w:t>French Government (202</w:t>
      </w:r>
      <w:r>
        <w:t>6</w:t>
      </w:r>
      <w:r w:rsidRPr="00EB7A90">
        <w:t xml:space="preserve">), </w:t>
      </w:r>
      <w:r w:rsidRPr="007909A2">
        <w:t>written input, pp. 28-29).</w:t>
      </w:r>
    </w:p>
  </w:footnote>
  <w:footnote w:id="102">
    <w:p w14:paraId="775AD71B" w14:textId="13C7F37E" w:rsidR="00AD63B1" w:rsidRPr="007909A2" w:rsidRDefault="00AD63B1" w:rsidP="00792295">
      <w:pPr>
        <w:pStyle w:val="FootnoteRoLReport"/>
      </w:pPr>
      <w:r w:rsidRPr="007909A2">
        <w:rPr>
          <w:rStyle w:val="FootnoteReference"/>
        </w:rPr>
        <w:footnoteRef/>
      </w:r>
      <w:r w:rsidRPr="007909A2">
        <w:t xml:space="preserve"> </w:t>
      </w:r>
      <w:r w:rsidRPr="007909A2">
        <w:tab/>
      </w:r>
      <w:r w:rsidRPr="00FA1B9D">
        <w:t>ARCOM (2026 b and c).</w:t>
      </w:r>
    </w:p>
  </w:footnote>
  <w:footnote w:id="103">
    <w:p w14:paraId="72FB1912" w14:textId="77777777" w:rsidR="00AD63B1" w:rsidRPr="00C241F5" w:rsidRDefault="00AD63B1" w:rsidP="00792295">
      <w:pPr>
        <w:pStyle w:val="FootnoteRoLReport"/>
        <w:rPr>
          <w:b/>
          <w:bCs/>
        </w:rPr>
      </w:pPr>
      <w:r w:rsidRPr="007909A2">
        <w:rPr>
          <w:rStyle w:val="FootnoteReference"/>
        </w:rPr>
        <w:footnoteRef/>
      </w:r>
      <w:r w:rsidRPr="007909A2">
        <w:t xml:space="preserve"> </w:t>
      </w:r>
      <w:r w:rsidRPr="007909A2">
        <w:tab/>
        <w:t>Council of State (2025).</w:t>
      </w:r>
    </w:p>
  </w:footnote>
  <w:footnote w:id="104">
    <w:p w14:paraId="25FDC7E5" w14:textId="77777777" w:rsidR="00AD63B1" w:rsidRPr="00C241F5" w:rsidRDefault="00AD63B1" w:rsidP="00792295">
      <w:pPr>
        <w:pStyle w:val="FootnoteRoLReport"/>
        <w:rPr>
          <w:b/>
        </w:rPr>
      </w:pPr>
      <w:r w:rsidRPr="00C241F5">
        <w:rPr>
          <w:rStyle w:val="FootnoteReference"/>
        </w:rPr>
        <w:footnoteRef/>
      </w:r>
      <w:r w:rsidRPr="00C241F5">
        <w:t xml:space="preserve"> </w:t>
      </w:r>
      <w:r w:rsidRPr="00C241F5">
        <w:tab/>
      </w:r>
      <w:r w:rsidRPr="00E44A5D">
        <w:t>RSF (2025).</w:t>
      </w:r>
    </w:p>
  </w:footnote>
  <w:footnote w:id="105">
    <w:p w14:paraId="13EA5584" w14:textId="77777777" w:rsidR="00AD63B1" w:rsidRPr="00442513" w:rsidRDefault="00AD63B1" w:rsidP="00792295">
      <w:pPr>
        <w:pStyle w:val="FootnoteRoLReport"/>
      </w:pPr>
      <w:r w:rsidRPr="00C241F5">
        <w:rPr>
          <w:rStyle w:val="FootnoteReference"/>
        </w:rPr>
        <w:footnoteRef/>
      </w:r>
      <w:r w:rsidRPr="00C241F5">
        <w:t xml:space="preserve"> </w:t>
      </w:r>
      <w:r w:rsidRPr="00C241F5">
        <w:tab/>
        <w:t>In its 2024 annual report published on 21 May 2025, the CDJM declared it has been seised 216 times (146 times in 2023, 297 in 2020), mostly for printed/online press (45.6%), TV (28.4%), radio (11.2%) and online media (9.3%). To these procedures, the association</w:t>
      </w:r>
      <w:r w:rsidRPr="00442513">
        <w:t xml:space="preserve"> published 74 responses (50 in 2023, 20 in 2020).</w:t>
      </w:r>
    </w:p>
  </w:footnote>
  <w:footnote w:id="106">
    <w:p w14:paraId="1FDF5AB5" w14:textId="77777777" w:rsidR="00AD63B1" w:rsidRPr="009723EC" w:rsidRDefault="00AD63B1" w:rsidP="00792295">
      <w:pPr>
        <w:pStyle w:val="FootnoteRoLReport"/>
      </w:pPr>
      <w:r w:rsidRPr="00442513">
        <w:rPr>
          <w:rStyle w:val="FootnoteReference"/>
        </w:rPr>
        <w:footnoteRef/>
      </w:r>
      <w:r w:rsidRPr="009723EC">
        <w:t xml:space="preserve"> </w:t>
      </w:r>
      <w:r w:rsidRPr="009723EC">
        <w:tab/>
        <w:t>Country visit France, CDJM.</w:t>
      </w:r>
    </w:p>
  </w:footnote>
  <w:footnote w:id="107">
    <w:p w14:paraId="56A79C9B" w14:textId="77777777" w:rsidR="00AD63B1" w:rsidRPr="00442513" w:rsidRDefault="00AD63B1" w:rsidP="00792295">
      <w:pPr>
        <w:pStyle w:val="FootnoteRoLReport"/>
      </w:pPr>
      <w:r w:rsidRPr="00442513">
        <w:rPr>
          <w:rStyle w:val="FootnoteReference"/>
        </w:rPr>
        <w:footnoteRef/>
      </w:r>
      <w:r w:rsidRPr="00982BF8">
        <w:t xml:space="preserve"> </w:t>
      </w:r>
      <w:r w:rsidRPr="00982BF8">
        <w:tab/>
      </w:r>
      <w:r w:rsidRPr="009723EC">
        <w:t>Draft law on the reform of public audiovisual and audiovisual sovereignt</w:t>
      </w:r>
      <w:r>
        <w:rPr>
          <w:i/>
          <w:iCs/>
        </w:rPr>
        <w:t>y</w:t>
      </w:r>
      <w:r w:rsidRPr="009723EC">
        <w:t xml:space="preserve">, aimed at reforming the governance structure of public audiovisual media. </w:t>
      </w:r>
      <w:r w:rsidRPr="00442513">
        <w:t>The draft bill was rejected at first reading by the National Assembly in July 2024 and adopted by the Senate on 11 July 2025, pending a second reading in the National Assembly.</w:t>
      </w:r>
      <w:r>
        <w:t xml:space="preserve"> This draft bill is currently on hold.</w:t>
      </w:r>
    </w:p>
  </w:footnote>
  <w:footnote w:id="108">
    <w:p w14:paraId="772FD1C1" w14:textId="44E5EA72" w:rsidR="00AD63B1" w:rsidRPr="00AC5412" w:rsidRDefault="00AD63B1" w:rsidP="00792295">
      <w:pPr>
        <w:pStyle w:val="FootnoteRoLReport"/>
      </w:pPr>
      <w:r w:rsidRPr="003843DE">
        <w:rPr>
          <w:rStyle w:val="FootnoteReference"/>
        </w:rPr>
        <w:footnoteRef/>
      </w:r>
      <w:r w:rsidRPr="003843DE">
        <w:t xml:space="preserve"> </w:t>
      </w:r>
      <w:r w:rsidRPr="003843DE">
        <w:tab/>
        <w:t>Parliament (2026)</w:t>
      </w:r>
      <w:r w:rsidR="00F86724" w:rsidRPr="003843DE">
        <w:t>,</w:t>
      </w:r>
      <w:r w:rsidR="003843DE">
        <w:t xml:space="preserve"> </w:t>
      </w:r>
      <w:r w:rsidR="003843DE" w:rsidRPr="003843DE">
        <w:t>pp. 67-80</w:t>
      </w:r>
      <w:r w:rsidRPr="003843DE">
        <w:rPr>
          <w:i/>
        </w:rPr>
        <w:t>.</w:t>
      </w:r>
    </w:p>
  </w:footnote>
  <w:footnote w:id="109">
    <w:p w14:paraId="008EC517" w14:textId="77777777" w:rsidR="00AD63B1" w:rsidRPr="00442513" w:rsidRDefault="00AD63B1" w:rsidP="00792295">
      <w:pPr>
        <w:pStyle w:val="FootnoteRoLReport"/>
      </w:pPr>
      <w:r w:rsidRPr="00442513">
        <w:rPr>
          <w:rStyle w:val="FootnoteReference"/>
        </w:rPr>
        <w:footnoteRef/>
      </w:r>
      <w:r w:rsidRPr="00442513">
        <w:t xml:space="preserve"> </w:t>
      </w:r>
      <w:r>
        <w:tab/>
      </w:r>
      <w:r w:rsidRPr="00442513">
        <w:t xml:space="preserve">In December 2024, France enacted an organic law reform that shifts </w:t>
      </w:r>
      <w:r>
        <w:t xml:space="preserve">public service medias </w:t>
      </w:r>
      <w:r w:rsidRPr="00442513">
        <w:t>funding to a tax-based revenue stream (share of VAT), improving stability and predictability; the Constitutional Council (2022-842 DC) requires the legislature to set resources at levels enabling PSM to fulfil their remit.</w:t>
      </w:r>
    </w:p>
  </w:footnote>
  <w:footnote w:id="110">
    <w:p w14:paraId="002BAD18" w14:textId="460A2F24" w:rsidR="00AD63B1" w:rsidRPr="00442513" w:rsidRDefault="00AD63B1" w:rsidP="00792295">
      <w:pPr>
        <w:pStyle w:val="FootnoteRoLReport"/>
      </w:pPr>
      <w:r w:rsidRPr="00442513">
        <w:rPr>
          <w:rStyle w:val="FootnoteReference"/>
        </w:rPr>
        <w:footnoteRef/>
      </w:r>
      <w:r w:rsidRPr="00442513">
        <w:t xml:space="preserve"> EUR 80</w:t>
      </w:r>
      <w:r w:rsidR="2BBDC5EA" w:rsidRPr="00442513">
        <w:t>,</w:t>
      </w:r>
      <w:r w:rsidR="2C283C3C" w:rsidRPr="00442513">
        <w:t>2</w:t>
      </w:r>
      <w:r w:rsidRPr="00442513">
        <w:t xml:space="preserve"> million in the adopted budget and an additional EUR 15 million announced in a letter sent by the Prime Minister the France Télévisions CEO, as reported during the country visit France, Ministry of Culture and France Télévisions. </w:t>
      </w:r>
    </w:p>
  </w:footnote>
  <w:footnote w:id="111">
    <w:p w14:paraId="269C2BDE" w14:textId="77777777" w:rsidR="00AD63B1" w:rsidRPr="00886A47" w:rsidRDefault="00AD63B1" w:rsidP="00792295">
      <w:pPr>
        <w:pStyle w:val="FootnoteRoLReport"/>
      </w:pPr>
      <w:r>
        <w:rPr>
          <w:rStyle w:val="FootnoteReference"/>
        </w:rPr>
        <w:footnoteRef/>
      </w:r>
      <w:r>
        <w:t xml:space="preserve"> </w:t>
      </w:r>
      <w:r>
        <w:tab/>
      </w:r>
      <w:r w:rsidRPr="00FE19CB">
        <w:t>French Government (202</w:t>
      </w:r>
      <w:r>
        <w:t>6b</w:t>
      </w:r>
      <w:r w:rsidRPr="00FE19CB">
        <w:t xml:space="preserve">), </w:t>
      </w:r>
      <w:r>
        <w:t xml:space="preserve">additional </w:t>
      </w:r>
      <w:r w:rsidRPr="00FE19CB">
        <w:t>written input</w:t>
      </w:r>
      <w:r>
        <w:t>, p. 27.</w:t>
      </w:r>
    </w:p>
  </w:footnote>
  <w:footnote w:id="112">
    <w:p w14:paraId="504BA0D3" w14:textId="77777777" w:rsidR="00AD63B1" w:rsidRPr="006D736D" w:rsidRDefault="00AD63B1" w:rsidP="00792295">
      <w:pPr>
        <w:pStyle w:val="FootnoteRoLReport"/>
      </w:pPr>
      <w:r>
        <w:rPr>
          <w:rStyle w:val="FootnoteReference"/>
        </w:rPr>
        <w:footnoteRef/>
      </w:r>
      <w:r w:rsidRPr="006D736D">
        <w:t xml:space="preserve"> </w:t>
      </w:r>
      <w:r>
        <w:tab/>
        <w:t>D</w:t>
      </w:r>
      <w:r w:rsidRPr="00755710">
        <w:t>ecrease of 212 full-time equivalent positions compared with 2024</w:t>
      </w:r>
      <w:r>
        <w:t>.</w:t>
      </w:r>
    </w:p>
  </w:footnote>
  <w:footnote w:id="113">
    <w:p w14:paraId="0065A36F" w14:textId="2D7C7AF3" w:rsidR="00AD63B1" w:rsidRPr="003837E9" w:rsidRDefault="00AD63B1" w:rsidP="00792295">
      <w:pPr>
        <w:pStyle w:val="FootnoteRoLReport"/>
        <w:rPr>
          <w:lang w:val="fr-FR"/>
        </w:rPr>
      </w:pPr>
      <w:r>
        <w:rPr>
          <w:rStyle w:val="FootnoteReference"/>
        </w:rPr>
        <w:footnoteRef/>
      </w:r>
      <w:r w:rsidRPr="003837E9">
        <w:rPr>
          <w:lang w:val="fr-FR"/>
        </w:rPr>
        <w:t xml:space="preserve"> Le Conseil d'administration de France Télévisions approuve les comptes 2025, 13 March 2025, France Télévisions website.</w:t>
      </w:r>
    </w:p>
  </w:footnote>
  <w:footnote w:id="114">
    <w:p w14:paraId="563B9890" w14:textId="77777777" w:rsidR="00AD63B1" w:rsidRPr="00737C19" w:rsidRDefault="00AD63B1" w:rsidP="00792295">
      <w:pPr>
        <w:pStyle w:val="FootnoteRoLReport"/>
      </w:pPr>
      <w:r w:rsidRPr="00442513">
        <w:rPr>
          <w:rStyle w:val="FootnoteReference"/>
        </w:rPr>
        <w:footnoteRef/>
      </w:r>
      <w:r w:rsidRPr="00442513">
        <w:t xml:space="preserve"> </w:t>
      </w:r>
      <w:r>
        <w:tab/>
      </w:r>
      <w:r w:rsidRPr="00442513">
        <w:t>Without prejudice to the constitutional principle of annual budgeting, the predictability of funding is ensured by the contracts of objectives and means (COM), which originate from Article 15 of Law No. 2000-719 of 1 August 2000 amending the Law of 30 September 1986.</w:t>
      </w:r>
    </w:p>
  </w:footnote>
  <w:footnote w:id="115">
    <w:p w14:paraId="4758B1D7" w14:textId="3854B7F6" w:rsidR="00AD63B1" w:rsidRPr="00737C19" w:rsidRDefault="00AD63B1" w:rsidP="00792295">
      <w:pPr>
        <w:pStyle w:val="FootnoteRoLReport"/>
      </w:pPr>
      <w:r w:rsidRPr="00442513">
        <w:rPr>
          <w:rStyle w:val="FootnoteReference"/>
        </w:rPr>
        <w:footnoteRef/>
      </w:r>
      <w:r>
        <w:t xml:space="preserve"> </w:t>
      </w:r>
      <w:r>
        <w:tab/>
      </w:r>
      <w:r w:rsidRPr="00442513">
        <w:t>Country visit France, Radio France and France Télévisions.</w:t>
      </w:r>
    </w:p>
  </w:footnote>
  <w:footnote w:id="116">
    <w:p w14:paraId="30AB720D" w14:textId="5EF124F2" w:rsidR="00AD63B1" w:rsidRPr="00442513" w:rsidRDefault="00AD63B1" w:rsidP="00792295">
      <w:pPr>
        <w:pStyle w:val="FootnoteRoLReport"/>
      </w:pPr>
      <w:r w:rsidRPr="00442513">
        <w:rPr>
          <w:rStyle w:val="FootnoteReference"/>
        </w:rPr>
        <w:footnoteRef/>
      </w:r>
      <w:r w:rsidRPr="00442513">
        <w:rPr>
          <w:rStyle w:val="FootnoteReference"/>
        </w:rPr>
        <w:t xml:space="preserve"> </w:t>
      </w:r>
      <w:r>
        <w:tab/>
      </w:r>
      <w:r w:rsidRPr="00442513">
        <w:t xml:space="preserve">The 2025 Rule of Law Report recommended </w:t>
      </w:r>
      <w:r w:rsidR="00240EC8">
        <w:t xml:space="preserve">to </w:t>
      </w:r>
      <w:r w:rsidRPr="00442513">
        <w:t xml:space="preserve">France to </w:t>
      </w:r>
      <w:r>
        <w:t>“</w:t>
      </w:r>
      <w:r w:rsidRPr="00442513">
        <w:t>Complete ongoing reforms to improve the transparency of media ownership, in particular, complex shareholding structures, building on the existing legal safeguards”.</w:t>
      </w:r>
      <w:r>
        <w:t xml:space="preserve"> Significant p</w:t>
      </w:r>
      <w:r w:rsidRPr="00230D53">
        <w:t xml:space="preserve">rogress was previously assessed on this </w:t>
      </w:r>
      <w:r w:rsidRPr="009723EC">
        <w:t xml:space="preserve">recommendation in 2025, </w:t>
      </w:r>
      <w:r>
        <w:t xml:space="preserve">an no progress in </w:t>
      </w:r>
      <w:r w:rsidRPr="009723EC">
        <w:t>2024 and 2023.</w:t>
      </w:r>
    </w:p>
  </w:footnote>
  <w:footnote w:id="117">
    <w:p w14:paraId="3C433A9C" w14:textId="77777777" w:rsidR="00AD63B1" w:rsidRPr="005476FA" w:rsidRDefault="00AD63B1" w:rsidP="00792295">
      <w:pPr>
        <w:pStyle w:val="FootnoteRoLReport"/>
      </w:pPr>
      <w:r>
        <w:rPr>
          <w:rStyle w:val="FootnoteReference"/>
        </w:rPr>
        <w:footnoteRef/>
      </w:r>
      <w:r>
        <w:t xml:space="preserve"> E.g.</w:t>
      </w:r>
      <w:r w:rsidRPr="00FF491D">
        <w:t xml:space="preserve"> </w:t>
      </w:r>
      <w:r>
        <w:t xml:space="preserve">one </w:t>
      </w:r>
      <w:r w:rsidRPr="007B6C6C">
        <w:t xml:space="preserve">acquisition </w:t>
      </w:r>
      <w:r w:rsidRPr="00AB1B11">
        <w:t xml:space="preserve">has been challenged before </w:t>
      </w:r>
      <w:r w:rsidRPr="008A5E98">
        <w:t xml:space="preserve">both the </w:t>
      </w:r>
      <w:r>
        <w:t>State Council</w:t>
      </w:r>
      <w:r w:rsidRPr="008A5E98">
        <w:t xml:space="preserve"> and the Competition Authority, to assess a potential abuse of dominant position. </w:t>
      </w:r>
      <w:r w:rsidRPr="005476FA">
        <w:t>Country visit France, RSF, Press Council, AFP and SNJ.</w:t>
      </w:r>
    </w:p>
  </w:footnote>
  <w:footnote w:id="118">
    <w:p w14:paraId="7A2C3CFF" w14:textId="77777777" w:rsidR="00AD63B1" w:rsidRPr="005476FA" w:rsidRDefault="00AD63B1" w:rsidP="00792295">
      <w:pPr>
        <w:pStyle w:val="FootnoteRoLReport"/>
      </w:pPr>
      <w:r w:rsidRPr="005476FA">
        <w:rPr>
          <w:rStyle w:val="FootnoteReference"/>
        </w:rPr>
        <w:footnoteRef/>
      </w:r>
      <w:r w:rsidRPr="005476FA">
        <w:t xml:space="preserve"> </w:t>
      </w:r>
      <w:r w:rsidRPr="005476FA">
        <w:tab/>
        <w:t>SNJ (2026).</w:t>
      </w:r>
    </w:p>
  </w:footnote>
  <w:footnote w:id="119">
    <w:p w14:paraId="0E2D0A09" w14:textId="77777777" w:rsidR="00AD63B1" w:rsidRPr="005476FA" w:rsidRDefault="00AD63B1" w:rsidP="00792295">
      <w:pPr>
        <w:pStyle w:val="FootnoteRoLReport"/>
      </w:pPr>
      <w:r w:rsidRPr="005476FA">
        <w:rPr>
          <w:vertAlign w:val="superscript"/>
        </w:rPr>
        <w:footnoteRef/>
      </w:r>
      <w:r w:rsidRPr="005476FA">
        <w:t xml:space="preserve"> </w:t>
      </w:r>
      <w:r w:rsidRPr="005476FA">
        <w:tab/>
        <w:t>2026 Media Pluralism Monitor, country report for France, p. 18.</w:t>
      </w:r>
    </w:p>
  </w:footnote>
  <w:footnote w:id="120">
    <w:p w14:paraId="70E6B76F" w14:textId="77777777" w:rsidR="00AD63B1" w:rsidRPr="007631A7" w:rsidRDefault="00AD63B1" w:rsidP="00792295">
      <w:pPr>
        <w:pStyle w:val="FootnoteRoLReport"/>
        <w:rPr>
          <w:lang w:val="en-IE"/>
        </w:rPr>
      </w:pPr>
      <w:r w:rsidRPr="007631A7">
        <w:rPr>
          <w:rStyle w:val="FootnoteReference"/>
        </w:rPr>
        <w:footnoteRef/>
      </w:r>
      <w:r w:rsidRPr="007631A7">
        <w:t xml:space="preserve"> </w:t>
      </w:r>
      <w:r w:rsidRPr="007631A7">
        <w:tab/>
      </w:r>
      <w:r w:rsidRPr="007631A7">
        <w:rPr>
          <w:lang w:val="en-IE"/>
        </w:rPr>
        <w:t>C</w:t>
      </w:r>
      <w:r w:rsidRPr="007631A7">
        <w:t>ADA (2026), written input.</w:t>
      </w:r>
    </w:p>
  </w:footnote>
  <w:footnote w:id="121">
    <w:p w14:paraId="5E18180E" w14:textId="77777777" w:rsidR="00AD63B1" w:rsidRPr="005476FA" w:rsidRDefault="00AD63B1" w:rsidP="00792295">
      <w:pPr>
        <w:pStyle w:val="FootnoteRoLReport"/>
      </w:pPr>
      <w:r w:rsidRPr="007631A7">
        <w:rPr>
          <w:rStyle w:val="FootnoteReference"/>
        </w:rPr>
        <w:footnoteRef/>
      </w:r>
      <w:r w:rsidRPr="007631A7">
        <w:t xml:space="preserve"> </w:t>
      </w:r>
      <w:r w:rsidRPr="007631A7">
        <w:tab/>
        <w:t>RSF, written input, p.19.</w:t>
      </w:r>
    </w:p>
  </w:footnote>
  <w:footnote w:id="122">
    <w:p w14:paraId="5D5FBF4E" w14:textId="77777777" w:rsidR="00AD63B1" w:rsidRPr="00982BF8" w:rsidRDefault="00AD63B1" w:rsidP="00792295">
      <w:pPr>
        <w:pStyle w:val="FootnoteRoLReport"/>
        <w:rPr>
          <w:lang w:val="en-IE"/>
        </w:rPr>
      </w:pPr>
      <w:r w:rsidRPr="005476FA">
        <w:rPr>
          <w:rStyle w:val="FootnoteReference"/>
        </w:rPr>
        <w:footnoteRef/>
      </w:r>
      <w:r w:rsidRPr="005476FA">
        <w:rPr>
          <w:lang w:val="en-IE"/>
        </w:rPr>
        <w:t xml:space="preserve"> </w:t>
      </w:r>
      <w:r>
        <w:rPr>
          <w:lang w:val="en-IE"/>
        </w:rPr>
        <w:tab/>
      </w:r>
      <w:r w:rsidRPr="005476FA">
        <w:rPr>
          <w:lang w:val="en-IE"/>
        </w:rPr>
        <w:t xml:space="preserve">This law is </w:t>
      </w:r>
      <w:r w:rsidRPr="005476FA">
        <w:t>building on Article</w:t>
      </w:r>
      <w:r>
        <w:t xml:space="preserve"> 15</w:t>
      </w:r>
      <w:r w:rsidRPr="00C92291">
        <w:t xml:space="preserve"> of </w:t>
      </w:r>
      <w:r w:rsidRPr="00DC50DB">
        <w:t>Directive (EU) 2019/790</w:t>
      </w:r>
      <w:r w:rsidRPr="00CD5215">
        <w:t xml:space="preserve"> of </w:t>
      </w:r>
      <w:r w:rsidRPr="00DC50DB">
        <w:t xml:space="preserve">the </w:t>
      </w:r>
      <w:r w:rsidRPr="00CD5215">
        <w:t>European Parliament</w:t>
      </w:r>
      <w:r w:rsidRPr="00DC50DB">
        <w:t xml:space="preserve"> and </w:t>
      </w:r>
      <w:r w:rsidRPr="00CD5215">
        <w:t>of the Council of 17 April 2019 on copyright and related</w:t>
      </w:r>
      <w:r w:rsidRPr="00DC50DB">
        <w:t xml:space="preserve"> rights </w:t>
      </w:r>
      <w:r w:rsidRPr="00CD5215">
        <w:t>in the Digital Single Market and amending Directives 96/9/EC and 2001/29/EC (Text with EEA relevance). It</w:t>
      </w:r>
      <w:r>
        <w:t xml:space="preserve"> </w:t>
      </w:r>
      <w:r>
        <w:rPr>
          <w:lang w:val="en-IE"/>
        </w:rPr>
        <w:t xml:space="preserve">is </w:t>
      </w:r>
      <w:r w:rsidRPr="00323D2D">
        <w:rPr>
          <w:lang w:val="en-IE"/>
        </w:rPr>
        <w:t xml:space="preserve">intended to address persistent difficulties faced by publishers in obtaining fair remuneration from online platforms for the use of their press content, with potential positive effects on the distribution of revenues </w:t>
      </w:r>
      <w:r>
        <w:rPr>
          <w:lang w:val="en-IE"/>
        </w:rPr>
        <w:t xml:space="preserve">and the </w:t>
      </w:r>
      <w:r w:rsidRPr="00323D2D">
        <w:rPr>
          <w:lang w:val="en-IE"/>
        </w:rPr>
        <w:t>remuneration of journalists.</w:t>
      </w:r>
      <w:r>
        <w:rPr>
          <w:lang w:val="en-IE"/>
        </w:rPr>
        <w:t xml:space="preserve"> </w:t>
      </w:r>
      <w:r w:rsidRPr="00EA09C6">
        <w:t>Neighbouring rights are related rights granted to entities involved in the dissemination of protected content; under Article 15, press publishers are given the right to control certain online uses of their publications, without affecting authors’ rights.</w:t>
      </w:r>
    </w:p>
  </w:footnote>
  <w:footnote w:id="123">
    <w:p w14:paraId="3D3AF498" w14:textId="77777777" w:rsidR="00AD63B1" w:rsidRDefault="00AD63B1" w:rsidP="00792295">
      <w:pPr>
        <w:pStyle w:val="FootnoteRoLReport"/>
      </w:pPr>
      <w:r w:rsidRPr="005B710C">
        <w:rPr>
          <w:rStyle w:val="FootnoteReference"/>
          <w:szCs w:val="18"/>
        </w:rPr>
        <w:footnoteRef/>
      </w:r>
      <w:r>
        <w:t xml:space="preserve"> </w:t>
      </w:r>
      <w:r>
        <w:tab/>
      </w:r>
      <w:r w:rsidRPr="005B710C">
        <w:t>Court of Cassation, 17 March 2026, No. 25-81.815.</w:t>
      </w:r>
    </w:p>
  </w:footnote>
  <w:footnote w:id="124">
    <w:p w14:paraId="19C63C38" w14:textId="77777777" w:rsidR="00AD63B1" w:rsidRPr="00D65FAC" w:rsidRDefault="00AD63B1" w:rsidP="00792295">
      <w:pPr>
        <w:pStyle w:val="FootnoteRoLReport"/>
      </w:pPr>
      <w:r w:rsidRPr="00E816D5">
        <w:rPr>
          <w:rStyle w:val="FootnoteReference"/>
        </w:rPr>
        <w:footnoteRef/>
      </w:r>
      <w:r w:rsidRPr="00D65FAC">
        <w:t xml:space="preserve"> </w:t>
      </w:r>
      <w:r>
        <w:tab/>
      </w:r>
      <w:r w:rsidRPr="00D65FAC">
        <w:t>SNJ website.</w:t>
      </w:r>
    </w:p>
  </w:footnote>
  <w:footnote w:id="125">
    <w:p w14:paraId="6500F161" w14:textId="77777777" w:rsidR="00AD63B1" w:rsidRPr="00982BF8" w:rsidRDefault="00AD63B1" w:rsidP="00792295">
      <w:pPr>
        <w:pStyle w:val="FootnoteRoLReport"/>
      </w:pPr>
      <w:r>
        <w:rPr>
          <w:rStyle w:val="FootnoteReference"/>
        </w:rPr>
        <w:footnoteRef/>
      </w:r>
      <w:r>
        <w:t xml:space="preserve"> </w:t>
      </w:r>
      <w:r>
        <w:tab/>
      </w:r>
      <w:r w:rsidRPr="00982BF8">
        <w:t>Country visit France and written input, SNJ.</w:t>
      </w:r>
    </w:p>
  </w:footnote>
  <w:footnote w:id="126">
    <w:p w14:paraId="7039098D" w14:textId="2522401E" w:rsidR="00AD63B1" w:rsidRPr="005476FA" w:rsidRDefault="00AD63B1" w:rsidP="00792295">
      <w:pPr>
        <w:pStyle w:val="FootnoteRoLReport"/>
      </w:pPr>
      <w:r w:rsidRPr="00E816D5">
        <w:rPr>
          <w:rStyle w:val="FootnoteReference"/>
        </w:rPr>
        <w:footnoteRef/>
      </w:r>
      <w:r w:rsidRPr="00D65FAC">
        <w:t xml:space="preserve"> </w:t>
      </w:r>
      <w:r w:rsidRPr="00D65FAC">
        <w:tab/>
      </w:r>
      <w:r w:rsidRPr="006A223C">
        <w:t>RSF (2026)</w:t>
      </w:r>
      <w:r w:rsidR="008D7146">
        <w:t>, p. 19</w:t>
      </w:r>
      <w:r w:rsidRPr="006A223C">
        <w:t>.</w:t>
      </w:r>
      <w:r w:rsidRPr="005476FA">
        <w:t xml:space="preserve"> </w:t>
      </w:r>
    </w:p>
  </w:footnote>
  <w:footnote w:id="127">
    <w:p w14:paraId="13909D88" w14:textId="2A0B67DE" w:rsidR="009C0F18" w:rsidRPr="005476FA" w:rsidRDefault="009C0F18" w:rsidP="009C0F18">
      <w:pPr>
        <w:pStyle w:val="FootnoteText"/>
        <w:rPr>
          <w:lang w:val="en-IE"/>
        </w:rPr>
      </w:pPr>
      <w:r w:rsidRPr="005476FA">
        <w:rPr>
          <w:rStyle w:val="FootnoteReference"/>
        </w:rPr>
        <w:footnoteRef/>
      </w:r>
      <w:r w:rsidRPr="005476FA">
        <w:rPr>
          <w:lang w:val="en-IE"/>
        </w:rPr>
        <w:t xml:space="preserve"> </w:t>
      </w:r>
      <w:r w:rsidR="00792295">
        <w:rPr>
          <w:lang w:val="en-IE"/>
        </w:rPr>
        <w:t xml:space="preserve">  </w:t>
      </w:r>
      <w:r w:rsidRPr="005476FA">
        <w:rPr>
          <w:lang w:val="en-IE"/>
        </w:rPr>
        <w:t>France has so far not replied to any of the alerts. Out of the 24 alerts, replies are expected for seven.</w:t>
      </w:r>
    </w:p>
  </w:footnote>
  <w:footnote w:id="128">
    <w:p w14:paraId="4A3F9061" w14:textId="19A3F9F9" w:rsidR="000F2A41" w:rsidRPr="005476FA" w:rsidRDefault="000F2A41" w:rsidP="00792295">
      <w:pPr>
        <w:pStyle w:val="FootnoteRoLReport"/>
      </w:pPr>
      <w:r w:rsidRPr="005476FA">
        <w:rPr>
          <w:rStyle w:val="FootnoteReference"/>
        </w:rPr>
        <w:footnoteRef/>
      </w:r>
      <w:r w:rsidRPr="005476FA">
        <w:t xml:space="preserve"> </w:t>
      </w:r>
      <w:r w:rsidRPr="005476FA">
        <w:tab/>
      </w:r>
      <w:r w:rsidR="00792295">
        <w:t xml:space="preserve">  </w:t>
      </w:r>
      <w:r w:rsidRPr="005476FA">
        <w:t>France has so far not replied to any of the alerts. Out of the 24 alerts, replies are expected for seven.</w:t>
      </w:r>
    </w:p>
  </w:footnote>
  <w:footnote w:id="129">
    <w:p w14:paraId="7438738D" w14:textId="5EF1B6A2" w:rsidR="00AD63B1" w:rsidRPr="005476FA" w:rsidRDefault="00AD63B1" w:rsidP="00AD63B1">
      <w:pPr>
        <w:pStyle w:val="FootnoteText"/>
      </w:pPr>
      <w:r w:rsidRPr="005476FA">
        <w:rPr>
          <w:rStyle w:val="FootnoteReference"/>
        </w:rPr>
        <w:footnoteRef/>
      </w:r>
      <w:r w:rsidRPr="005476FA">
        <w:t xml:space="preserve"> </w:t>
      </w:r>
      <w:r w:rsidRPr="005476FA">
        <w:tab/>
      </w:r>
      <w:r w:rsidRPr="00E42873">
        <w:t>OECD (2025)</w:t>
      </w:r>
      <w:r w:rsidR="00E42873">
        <w:t>,</w:t>
      </w:r>
      <w:r w:rsidRPr="005476FA">
        <w:t xml:space="preserve"> Chapter 6, France</w:t>
      </w:r>
      <w:r w:rsidR="00E42873">
        <w:t xml:space="preserve">, p. </w:t>
      </w:r>
      <w:r w:rsidR="00E5642D">
        <w:t>148</w:t>
      </w:r>
      <w:r w:rsidRPr="005476FA">
        <w:t>. Composite indicators: stakeholder engagement in rulemaking, 2018-2024.</w:t>
      </w:r>
    </w:p>
  </w:footnote>
  <w:footnote w:id="130">
    <w:p w14:paraId="34B5D0AC" w14:textId="77777777" w:rsidR="00AD63B1" w:rsidRPr="00C5753F" w:rsidRDefault="00AD63B1" w:rsidP="00AD63B1">
      <w:pPr>
        <w:pStyle w:val="FootnoteText"/>
        <w:rPr>
          <w:lang w:val="en-IE"/>
        </w:rPr>
      </w:pPr>
      <w:r>
        <w:rPr>
          <w:rStyle w:val="FootnoteReference"/>
        </w:rPr>
        <w:footnoteRef/>
      </w:r>
      <w:r>
        <w:t xml:space="preserve"> </w:t>
      </w:r>
      <w:r>
        <w:tab/>
      </w:r>
      <w:r w:rsidRPr="005476FA">
        <w:t>Ibidem</w:t>
      </w:r>
      <w:r>
        <w:t>.</w:t>
      </w:r>
    </w:p>
  </w:footnote>
  <w:footnote w:id="131">
    <w:p w14:paraId="3E13386B" w14:textId="77777777" w:rsidR="00AD63B1" w:rsidRPr="005476FA" w:rsidRDefault="00AD63B1" w:rsidP="00AD63B1">
      <w:pPr>
        <w:pStyle w:val="FootnoteText"/>
      </w:pPr>
      <w:r w:rsidRPr="005476FA">
        <w:rPr>
          <w:rStyle w:val="FootnoteReference"/>
        </w:rPr>
        <w:footnoteRef/>
      </w:r>
      <w:r w:rsidRPr="005476FA">
        <w:t xml:space="preserve"> </w:t>
      </w:r>
      <w:r w:rsidRPr="005476FA">
        <w:tab/>
        <w:t>Out of 71 laws adopted in the parliamentary session 2024-2025, 51 were adopted by accelerated procedure, according to Art.45(2) of the Constitutions. Statistics of the National Assembly 2024-2025.</w:t>
      </w:r>
    </w:p>
  </w:footnote>
  <w:footnote w:id="132">
    <w:p w14:paraId="026823DC" w14:textId="79F83D0A" w:rsidR="00AD63B1" w:rsidRPr="00600B84" w:rsidRDefault="00AD63B1" w:rsidP="00AD63B1">
      <w:pPr>
        <w:pStyle w:val="FootnoteText"/>
      </w:pPr>
      <w:r w:rsidRPr="005476FA">
        <w:rPr>
          <w:rStyle w:val="FootnoteReference"/>
        </w:rPr>
        <w:footnoteRef/>
      </w:r>
      <w:r w:rsidRPr="005476FA">
        <w:t xml:space="preserve"> </w:t>
      </w:r>
      <w:r w:rsidRPr="005476FA">
        <w:tab/>
      </w:r>
      <w:r w:rsidRPr="00BD1E06">
        <w:t>French Government (2026b)</w:t>
      </w:r>
      <w:r w:rsidR="00BD1E06" w:rsidRPr="00FF276F">
        <w:t>, p. 37</w:t>
      </w:r>
      <w:r w:rsidRPr="00BD1E06">
        <w:t>.</w:t>
      </w:r>
    </w:p>
  </w:footnote>
  <w:footnote w:id="133">
    <w:p w14:paraId="7034713B" w14:textId="47057F03" w:rsidR="00AD63B1" w:rsidRPr="009C2208" w:rsidRDefault="00AD63B1" w:rsidP="00AD63B1">
      <w:pPr>
        <w:pStyle w:val="FootnoteText"/>
        <w:rPr>
          <w:lang w:val="en-IE"/>
        </w:rPr>
      </w:pPr>
      <w:r>
        <w:rPr>
          <w:rStyle w:val="FootnoteReference"/>
        </w:rPr>
        <w:footnoteRef/>
      </w:r>
      <w:r>
        <w:t xml:space="preserve"> </w:t>
      </w:r>
      <w:r w:rsidRPr="009C2208">
        <w:rPr>
          <w:lang w:val="en-IE"/>
        </w:rPr>
        <w:t xml:space="preserve"> </w:t>
      </w:r>
      <w:r w:rsidR="00BA56EE">
        <w:rPr>
          <w:lang w:val="en-IE"/>
        </w:rPr>
        <w:t xml:space="preserve"> </w:t>
      </w:r>
      <w:r w:rsidRPr="009C2208">
        <w:rPr>
          <w:lang w:val="en-IE"/>
        </w:rPr>
        <w:t>CNCDH is th</w:t>
      </w:r>
      <w:r>
        <w:rPr>
          <w:lang w:val="en-IE"/>
        </w:rPr>
        <w:t>e national human rights institution.</w:t>
      </w:r>
    </w:p>
  </w:footnote>
  <w:footnote w:id="134">
    <w:p w14:paraId="26E8DB20" w14:textId="77777777" w:rsidR="00AD63B1" w:rsidRPr="0021586B" w:rsidRDefault="00AD63B1" w:rsidP="00AD63B1">
      <w:pPr>
        <w:pStyle w:val="FootnoteText"/>
        <w:rPr>
          <w:lang w:val="it-IT"/>
        </w:rPr>
      </w:pPr>
      <w:r>
        <w:rPr>
          <w:rStyle w:val="FootnoteReference"/>
        </w:rPr>
        <w:footnoteRef/>
      </w:r>
      <w:r w:rsidRPr="0075344B">
        <w:rPr>
          <w:lang w:val="it-IT"/>
        </w:rPr>
        <w:t xml:space="preserve"> </w:t>
      </w:r>
      <w:r w:rsidRPr="0075344B">
        <w:rPr>
          <w:lang w:val="it-IT"/>
        </w:rPr>
        <w:tab/>
        <w:t>FRA(2026</w:t>
      </w:r>
      <w:r w:rsidRPr="0021586B">
        <w:rPr>
          <w:lang w:val="it-IT"/>
        </w:rPr>
        <w:t>), pp. 21-22.</w:t>
      </w:r>
    </w:p>
  </w:footnote>
  <w:footnote w:id="135">
    <w:p w14:paraId="4E2B1A63" w14:textId="77777777" w:rsidR="00AD63B1" w:rsidRPr="0021586B" w:rsidRDefault="00AD63B1" w:rsidP="00AD63B1">
      <w:pPr>
        <w:pStyle w:val="FootnoteText"/>
        <w:rPr>
          <w:lang w:val="it-IT"/>
        </w:rPr>
      </w:pPr>
      <w:r w:rsidRPr="0021586B">
        <w:rPr>
          <w:rStyle w:val="FootnoteReference"/>
        </w:rPr>
        <w:footnoteRef/>
      </w:r>
      <w:r w:rsidRPr="0021586B">
        <w:rPr>
          <w:lang w:val="it-IT"/>
        </w:rPr>
        <w:t xml:space="preserve"> </w:t>
      </w:r>
      <w:r w:rsidRPr="0021586B">
        <w:rPr>
          <w:lang w:val="it-IT"/>
        </w:rPr>
        <w:tab/>
        <w:t>European Civic Forum (2026), p. 15.</w:t>
      </w:r>
    </w:p>
  </w:footnote>
  <w:footnote w:id="136">
    <w:p w14:paraId="66A037E8" w14:textId="5CD0A26A" w:rsidR="00AD63B1" w:rsidRPr="0021586B" w:rsidRDefault="00AD63B1" w:rsidP="00AD63B1">
      <w:pPr>
        <w:pStyle w:val="FootnoteText"/>
        <w:rPr>
          <w:lang w:val="en-IE"/>
        </w:rPr>
      </w:pPr>
      <w:r w:rsidRPr="0021586B">
        <w:rPr>
          <w:rStyle w:val="FootnoteReference"/>
        </w:rPr>
        <w:footnoteRef/>
      </w:r>
      <w:r w:rsidRPr="0021586B">
        <w:t xml:space="preserve"> </w:t>
      </w:r>
      <w:r w:rsidRPr="0021586B">
        <w:rPr>
          <w:lang w:val="en-IE"/>
        </w:rPr>
        <w:tab/>
      </w:r>
      <w:r w:rsidRPr="00BF2A3C">
        <w:rPr>
          <w:lang w:val="en-IE"/>
        </w:rPr>
        <w:t>CNCDH (2025)</w:t>
      </w:r>
      <w:r w:rsidR="00BF2A3C" w:rsidRPr="00FF276F">
        <w:rPr>
          <w:lang w:val="en-IE"/>
        </w:rPr>
        <w:t>, p. 14</w:t>
      </w:r>
      <w:r w:rsidRPr="00BF2A3C">
        <w:rPr>
          <w:lang w:val="en-IE"/>
        </w:rPr>
        <w:t>.</w:t>
      </w:r>
      <w:r w:rsidRPr="0021586B">
        <w:rPr>
          <w:lang w:val="en-IE"/>
        </w:rPr>
        <w:t xml:space="preserve"> Country visit France, Business Organisations.</w:t>
      </w:r>
    </w:p>
  </w:footnote>
  <w:footnote w:id="137">
    <w:p w14:paraId="2B8DA75C" w14:textId="77777777" w:rsidR="00AD63B1" w:rsidRPr="0021586B" w:rsidRDefault="00AD63B1" w:rsidP="00AD63B1">
      <w:pPr>
        <w:pStyle w:val="FootnoteText"/>
      </w:pPr>
      <w:r w:rsidRPr="0021586B">
        <w:rPr>
          <w:rStyle w:val="FootnoteReference"/>
        </w:rPr>
        <w:footnoteRef/>
      </w:r>
      <w:r w:rsidRPr="0021586B">
        <w:t xml:space="preserve"> </w:t>
      </w:r>
      <w:r w:rsidRPr="0021586B">
        <w:tab/>
        <w:t>Country visit France, Business Organisations.</w:t>
      </w:r>
    </w:p>
  </w:footnote>
  <w:footnote w:id="138">
    <w:p w14:paraId="745A335C" w14:textId="458F9A68" w:rsidR="00AD63B1" w:rsidRPr="009F7E23" w:rsidRDefault="00AD63B1" w:rsidP="00AD63B1">
      <w:pPr>
        <w:pStyle w:val="FootnoteText"/>
      </w:pPr>
      <w:r>
        <w:rPr>
          <w:rStyle w:val="FootnoteReference"/>
        </w:rPr>
        <w:footnoteRef/>
      </w:r>
      <w:r>
        <w:t xml:space="preserve"> </w:t>
      </w:r>
      <w:r>
        <w:tab/>
        <w:t xml:space="preserve">Ibidem and </w:t>
      </w:r>
      <w:r w:rsidRPr="009F7E23">
        <w:t>European Investment Bank, EIB Investment Survey</w:t>
      </w:r>
      <w:r>
        <w:t xml:space="preserve">. </w:t>
      </w:r>
      <w:r w:rsidR="00D32211" w:rsidRPr="00D20D6D">
        <w:t>In the context of the European Semester, the Commission has proposed that the Council recommend</w:t>
      </w:r>
      <w:r w:rsidR="00BE2FB9">
        <w:t>s</w:t>
      </w:r>
      <w:r w:rsidR="00D32211" w:rsidRPr="00D20D6D">
        <w:t xml:space="preserve"> that </w:t>
      </w:r>
      <w:r w:rsidR="00D32211">
        <w:t>France</w:t>
      </w:r>
      <w:r w:rsidR="00D32211" w:rsidRPr="00D20D6D">
        <w:t xml:space="preserve"> </w:t>
      </w:r>
      <w:r w:rsidR="00D32211">
        <w:t>“f</w:t>
      </w:r>
      <w:r w:rsidR="00D32211" w:rsidRPr="00CE7CB5">
        <w:rPr>
          <w:lang w:val="en-IE"/>
        </w:rPr>
        <w:t xml:space="preserve">urther </w:t>
      </w:r>
      <w:r w:rsidR="00D32211">
        <w:rPr>
          <w:lang w:val="en-IE"/>
        </w:rPr>
        <w:t>simplif[ies]</w:t>
      </w:r>
      <w:r w:rsidR="00D32211" w:rsidRPr="00CE7CB5">
        <w:rPr>
          <w:lang w:val="en-IE"/>
        </w:rPr>
        <w:t xml:space="preserve"> national regulation, reduce</w:t>
      </w:r>
      <w:r w:rsidR="00BE2FB9">
        <w:rPr>
          <w:lang w:val="en-IE"/>
        </w:rPr>
        <w:t>[s]</w:t>
      </w:r>
      <w:r w:rsidR="00D32211" w:rsidRPr="00CE7CB5">
        <w:rPr>
          <w:lang w:val="en-IE"/>
        </w:rPr>
        <w:t xml:space="preserve"> administrative burden, and regulatory restrictions on firms</w:t>
      </w:r>
      <w:r w:rsidR="00D32211">
        <w:rPr>
          <w:lang w:val="en-IE"/>
        </w:rPr>
        <w:t xml:space="preserve"> (…)</w:t>
      </w:r>
      <w:r w:rsidR="00D32211" w:rsidRPr="00D20D6D">
        <w:t xml:space="preserve">”. European Commission (2026) </w:t>
      </w:r>
      <w:r w:rsidR="00D32211">
        <w:t>210</w:t>
      </w:r>
      <w:r w:rsidR="00D32211" w:rsidRPr="00D20D6D">
        <w:t xml:space="preserve"> final, CSR 3.</w:t>
      </w:r>
    </w:p>
  </w:footnote>
  <w:footnote w:id="139">
    <w:p w14:paraId="43714071" w14:textId="42135D49" w:rsidR="00AD63B1" w:rsidRPr="009D546A" w:rsidRDefault="00AD63B1" w:rsidP="00AD63B1">
      <w:pPr>
        <w:pStyle w:val="FootnoteText"/>
      </w:pPr>
      <w:r>
        <w:rPr>
          <w:rStyle w:val="FootnoteReference"/>
        </w:rPr>
        <w:footnoteRef/>
      </w:r>
      <w:r w:rsidRPr="00982BF8">
        <w:rPr>
          <w:lang w:val="en-IE"/>
        </w:rPr>
        <w:t xml:space="preserve"> </w:t>
      </w:r>
      <w:r w:rsidRPr="00982BF8">
        <w:rPr>
          <w:lang w:val="en-IE"/>
        </w:rPr>
        <w:tab/>
        <w:t>The consultation had</w:t>
      </w:r>
      <w:r w:rsidRPr="00926EEA">
        <w:rPr>
          <w:lang w:val="en-IE"/>
        </w:rPr>
        <w:t xml:space="preserve"> </w:t>
      </w:r>
      <w:r w:rsidRPr="00982BF8">
        <w:rPr>
          <w:lang w:val="en-IE"/>
        </w:rPr>
        <w:t>received</w:t>
      </w:r>
      <w:r w:rsidRPr="000F1598">
        <w:rPr>
          <w:lang w:val="en-IE"/>
        </w:rPr>
        <w:t xml:space="preserve"> 700 000 votes </w:t>
      </w:r>
      <w:r w:rsidRPr="00982BF8">
        <w:rPr>
          <w:lang w:val="en-IE"/>
        </w:rPr>
        <w:t>an</w:t>
      </w:r>
      <w:r>
        <w:rPr>
          <w:lang w:val="en-IE"/>
        </w:rPr>
        <w:t>d more than</w:t>
      </w:r>
      <w:r w:rsidRPr="000F1598">
        <w:rPr>
          <w:lang w:val="en-IE"/>
        </w:rPr>
        <w:t xml:space="preserve"> 5 000 </w:t>
      </w:r>
      <w:r>
        <w:rPr>
          <w:lang w:val="en-IE"/>
        </w:rPr>
        <w:t>proposals</w:t>
      </w:r>
      <w:r w:rsidRPr="000F1598">
        <w:rPr>
          <w:lang w:val="en-IE"/>
        </w:rPr>
        <w:t>.</w:t>
      </w:r>
      <w:r>
        <w:rPr>
          <w:lang w:val="en-IE"/>
        </w:rPr>
        <w:t xml:space="preserve"> French Government (2026b), p. 38.</w:t>
      </w:r>
      <w:r w:rsidR="009D546A">
        <w:rPr>
          <w:lang w:val="en-IE"/>
        </w:rPr>
        <w:t xml:space="preserve"> </w:t>
      </w:r>
    </w:p>
  </w:footnote>
  <w:footnote w:id="140">
    <w:p w14:paraId="6AC1F7CE" w14:textId="77777777" w:rsidR="00AD63B1" w:rsidRPr="00C97F8A" w:rsidRDefault="00AD63B1" w:rsidP="00AD63B1">
      <w:pPr>
        <w:pStyle w:val="FootnoteText"/>
      </w:pPr>
      <w:r>
        <w:rPr>
          <w:rStyle w:val="FootnoteReference"/>
        </w:rPr>
        <w:footnoteRef/>
      </w:r>
      <w:r>
        <w:t xml:space="preserve"> </w:t>
      </w:r>
      <w:r>
        <w:tab/>
        <w:t>L</w:t>
      </w:r>
      <w:r w:rsidRPr="007128DC">
        <w:rPr>
          <w:lang w:val="en-IE"/>
        </w:rPr>
        <w:t xml:space="preserve">aw on </w:t>
      </w:r>
      <w:r>
        <w:rPr>
          <w:lang w:val="en-IE"/>
        </w:rPr>
        <w:t>S</w:t>
      </w:r>
      <w:r w:rsidRPr="007128DC">
        <w:rPr>
          <w:lang w:val="en-IE"/>
        </w:rPr>
        <w:t>implifying economic life</w:t>
      </w:r>
      <w:r>
        <w:rPr>
          <w:lang w:val="en-IE"/>
        </w:rPr>
        <w:t>, adopted by the Parliament on 26 May 2026.</w:t>
      </w:r>
    </w:p>
  </w:footnote>
  <w:footnote w:id="141">
    <w:p w14:paraId="2E4C81FD" w14:textId="77777777" w:rsidR="00AD63B1" w:rsidRPr="00056F1D" w:rsidRDefault="00AD63B1" w:rsidP="00AD63B1">
      <w:pPr>
        <w:pStyle w:val="FootnoteText"/>
      </w:pPr>
      <w:r w:rsidRPr="006430CE">
        <w:rPr>
          <w:rStyle w:val="FootnoteReference"/>
        </w:rPr>
        <w:footnoteRef/>
      </w:r>
      <w:r w:rsidRPr="00F73D93">
        <w:rPr>
          <w:lang w:val="en-IE"/>
        </w:rPr>
        <w:t xml:space="preserve"> </w:t>
      </w:r>
      <w:r w:rsidRPr="00F73D93">
        <w:rPr>
          <w:lang w:val="en-IE"/>
        </w:rPr>
        <w:tab/>
        <w:t>Figure 52 and 53, 2026 EU Justice Scoreboard.</w:t>
      </w:r>
      <w:r w:rsidRPr="00F73D93">
        <w:rPr>
          <w:lang w:val="en-IE" w:eastAsia="fr-FR"/>
        </w:rPr>
        <w:t xml:space="preserve"> 31% and 28% </w:t>
      </w:r>
      <w:r w:rsidRPr="00591976">
        <w:t>of the surveyed investors respectively perceive the frequent changes in legislation</w:t>
      </w:r>
      <w:r>
        <w:t xml:space="preserve"> </w:t>
      </w:r>
      <w:r w:rsidRPr="00196C3B">
        <w:t>or concerns about the quality of the law-making process</w:t>
      </w:r>
      <w:r>
        <w:t xml:space="preserve"> and </w:t>
      </w:r>
      <w:r w:rsidRPr="00E65DB6">
        <w:rPr>
          <w:rFonts w:eastAsia="Calibri"/>
        </w:rPr>
        <w:t>concerns about quality, efficiency or independence of justice</w:t>
      </w:r>
      <w:r>
        <w:rPr>
          <w:rFonts w:eastAsia="Calibri"/>
        </w:rPr>
        <w:t xml:space="preserve"> </w:t>
      </w:r>
      <w:r w:rsidRPr="00056F1D">
        <w:t>as a reason for the lack of confidence in investment protection</w:t>
      </w:r>
      <w:r w:rsidRPr="00591976">
        <w:t>.</w:t>
      </w:r>
      <w:r w:rsidRPr="00296771">
        <w:rPr>
          <w:lang w:eastAsia="fr-FR"/>
        </w:rPr>
        <w:t xml:space="preserve"> </w:t>
      </w:r>
      <w:r>
        <w:rPr>
          <w:lang w:eastAsia="fr-FR"/>
        </w:rPr>
        <w:t xml:space="preserve"> </w:t>
      </w:r>
    </w:p>
  </w:footnote>
  <w:footnote w:id="142">
    <w:p w14:paraId="48238CD1" w14:textId="77777777" w:rsidR="00AD63B1" w:rsidRPr="003B29EE" w:rsidRDefault="00AD63B1" w:rsidP="00AD63B1">
      <w:pPr>
        <w:pStyle w:val="FootnoteText"/>
      </w:pPr>
      <w:r w:rsidRPr="006430CE">
        <w:rPr>
          <w:rStyle w:val="FootnoteReference"/>
        </w:rPr>
        <w:footnoteRef/>
      </w:r>
      <w:r w:rsidRPr="003B29EE">
        <w:t xml:space="preserve"> </w:t>
      </w:r>
      <w:r w:rsidRPr="003B29EE">
        <w:tab/>
        <w:t xml:space="preserve">Figure </w:t>
      </w:r>
      <w:r>
        <w:t>60</w:t>
      </w:r>
      <w:r w:rsidRPr="003B29EE">
        <w:t>, 202</w:t>
      </w:r>
      <w:r>
        <w:t>6</w:t>
      </w:r>
      <w:r w:rsidRPr="003B29EE">
        <w:t xml:space="preserve"> EU Justice Scoreboard.</w:t>
      </w:r>
      <w:r>
        <w:t xml:space="preserve"> </w:t>
      </w:r>
    </w:p>
  </w:footnote>
  <w:footnote w:id="143">
    <w:p w14:paraId="16DE19D3" w14:textId="48560850" w:rsidR="00AD63B1" w:rsidRPr="00866ABA" w:rsidRDefault="00AD63B1" w:rsidP="00792295">
      <w:pPr>
        <w:pStyle w:val="FootnoteRoLReport"/>
      </w:pPr>
      <w:r>
        <w:rPr>
          <w:rStyle w:val="FootnoteReference"/>
        </w:rPr>
        <w:footnoteRef/>
      </w:r>
      <w:r>
        <w:t xml:space="preserve"> </w:t>
      </w:r>
      <w:r w:rsidRPr="00866ABA">
        <w:tab/>
      </w:r>
      <w:r w:rsidR="00694F16">
        <w:t xml:space="preserve"> </w:t>
      </w:r>
      <w:r w:rsidRPr="00866ABA">
        <w:t xml:space="preserve">Figures 66 and 67, 2026 EU Justice Scoreboard. The data presented reflects exclusively the mechanisms in </w:t>
      </w:r>
      <w:r w:rsidR="00694F16">
        <w:t xml:space="preserve">  </w:t>
      </w:r>
      <w:r w:rsidRPr="00866ABA">
        <w:t>place at the level of the highest administrative jurisdictions; the same or other mechanisms may be in place at lower instance administrative courts.</w:t>
      </w:r>
    </w:p>
  </w:footnote>
  <w:footnote w:id="144">
    <w:p w14:paraId="61917CB5" w14:textId="77777777" w:rsidR="00AD63B1" w:rsidRPr="00715D1C" w:rsidRDefault="00AD63B1" w:rsidP="00792295">
      <w:pPr>
        <w:pStyle w:val="FootnoteRoLReport"/>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 </w:t>
      </w:r>
      <w:r>
        <w:t xml:space="preserve"> </w:t>
      </w:r>
    </w:p>
  </w:footnote>
  <w:footnote w:id="145">
    <w:p w14:paraId="256A096B" w14:textId="77777777" w:rsidR="00AD63B1" w:rsidRPr="00715D1C" w:rsidRDefault="00AD63B1" w:rsidP="00792295">
      <w:pPr>
        <w:pStyle w:val="FootnoteRoLRepor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xml:space="preserve">, p. </w:t>
      </w:r>
      <w:r>
        <w:t>4</w:t>
      </w:r>
      <w:r w:rsidRPr="00715D1C">
        <w:t>.</w:t>
      </w:r>
    </w:p>
  </w:footnote>
  <w:footnote w:id="146">
    <w:p w14:paraId="6FF8034B" w14:textId="77777777" w:rsidR="00AD63B1" w:rsidRPr="00715D1C" w:rsidRDefault="00AD63B1" w:rsidP="00792295">
      <w:pPr>
        <w:pStyle w:val="FootnoteRoLReport"/>
      </w:pPr>
      <w:r w:rsidRPr="00715D1C">
        <w:rPr>
          <w:rStyle w:val="FootnoteReference"/>
        </w:rPr>
        <w:footnoteRef/>
      </w:r>
      <w:r w:rsidRPr="00715D1C">
        <w:t xml:space="preserve"> </w:t>
      </w:r>
      <w:r>
        <w:tab/>
      </w:r>
      <w:r w:rsidRPr="00715D1C">
        <w:t xml:space="preserve">Judgment of the </w:t>
      </w:r>
      <w:r>
        <w:t>ECtHR</w:t>
      </w:r>
      <w:r w:rsidRPr="00715D1C">
        <w:t xml:space="preserve">, </w:t>
      </w:r>
      <w:r w:rsidRPr="00C66D16">
        <w:t>13829/03</w:t>
      </w:r>
      <w:r w:rsidRPr="00265FEC">
        <w:rPr>
          <w:i/>
          <w:iCs/>
        </w:rPr>
        <w:t>, Barret and Sirjean v. France</w:t>
      </w:r>
      <w:r w:rsidRPr="00C66D16">
        <w:t xml:space="preserve">, </w:t>
      </w:r>
      <w:r w:rsidRPr="00715D1C">
        <w:t xml:space="preserve">pending implementation since </w:t>
      </w:r>
      <w:r>
        <w:t>2007</w:t>
      </w:r>
      <w:r w:rsidRPr="00715D1C">
        <w:t xml:space="preserve">. </w:t>
      </w:r>
    </w:p>
  </w:footnote>
  <w:footnote w:id="147">
    <w:p w14:paraId="18A341A5" w14:textId="77777777" w:rsidR="00AD63B1" w:rsidRPr="00087412" w:rsidRDefault="00AD63B1" w:rsidP="00792295">
      <w:pPr>
        <w:pStyle w:val="FootnoteRoLReport"/>
      </w:pPr>
      <w:r>
        <w:rPr>
          <w:rStyle w:val="FootnoteReference"/>
        </w:rPr>
        <w:footnoteRef/>
      </w:r>
      <w:r>
        <w:t xml:space="preserve"> </w:t>
      </w:r>
      <w:r>
        <w:tab/>
        <w:t xml:space="preserve">Council of Europe (2026), </w:t>
      </w:r>
      <w:r w:rsidRPr="00CF212C">
        <w:t>p</w:t>
      </w:r>
      <w:r>
        <w:t xml:space="preserve">.162 </w:t>
      </w:r>
    </w:p>
  </w:footnote>
  <w:footnote w:id="148">
    <w:p w14:paraId="4A1A11E9" w14:textId="77777777" w:rsidR="00AD63B1" w:rsidRPr="0021586B" w:rsidRDefault="00AD63B1" w:rsidP="00792295">
      <w:pPr>
        <w:pStyle w:val="FootnoteRoLReport"/>
      </w:pPr>
      <w:r w:rsidRPr="00715D1C">
        <w:rPr>
          <w:rStyle w:val="FootnoteReference"/>
        </w:rPr>
        <w:footnoteRef/>
      </w:r>
      <w:r w:rsidRPr="00715D1C">
        <w:t xml:space="preserve"> </w:t>
      </w:r>
      <w:r>
        <w:tab/>
      </w:r>
      <w:r w:rsidRPr="00715D1C">
        <w:t xml:space="preserve">Data according to the </w:t>
      </w:r>
      <w:r w:rsidRPr="0021586B">
        <w:t>online database of the Council of Europe (HUDOC).</w:t>
      </w:r>
    </w:p>
  </w:footnote>
  <w:footnote w:id="149">
    <w:p w14:paraId="652DEF9C" w14:textId="0B618C6E" w:rsidR="00AD63B1" w:rsidRPr="0021586B" w:rsidRDefault="00AD63B1" w:rsidP="00792295">
      <w:pPr>
        <w:pStyle w:val="FootnoteRoLReport"/>
      </w:pPr>
      <w:r w:rsidRPr="0021586B">
        <w:rPr>
          <w:rStyle w:val="FootnoteReference"/>
        </w:rPr>
        <w:footnoteRef/>
      </w:r>
      <w:r w:rsidRPr="0021586B">
        <w:t xml:space="preserve"> </w:t>
      </w:r>
      <w:r w:rsidRPr="0021586B">
        <w:tab/>
      </w:r>
      <w:r w:rsidR="00084269">
        <w:t>France’s</w:t>
      </w:r>
      <w:r w:rsidR="00A33D81" w:rsidRPr="0021586B">
        <w:t xml:space="preserve"> score is 60/100</w:t>
      </w:r>
      <w:r w:rsidR="00084269">
        <w:t xml:space="preserve">. </w:t>
      </w:r>
      <w:r w:rsidR="00881920" w:rsidRPr="00881920">
        <w:t>Ratings</w:t>
      </w:r>
      <w:r w:rsidRPr="0021586B">
        <w:t xml:space="preserve"> by </w:t>
      </w:r>
      <w:r w:rsidR="00881920" w:rsidRPr="00881920">
        <w:t>Civicus</w:t>
      </w:r>
      <w:r w:rsidRPr="0021586B">
        <w:t xml:space="preserve"> are on a five-category scale defined as: open, narrowed, obstructed, repressed and closed.</w:t>
      </w:r>
    </w:p>
  </w:footnote>
  <w:footnote w:id="150">
    <w:p w14:paraId="2E4E16F4" w14:textId="3951ABB0" w:rsidR="00AD63B1" w:rsidRPr="002912FB" w:rsidRDefault="00AD63B1" w:rsidP="00792295">
      <w:pPr>
        <w:pStyle w:val="FootnoteRoLReport"/>
      </w:pPr>
      <w:r w:rsidRPr="0021586B">
        <w:rPr>
          <w:rStyle w:val="FootnoteReference"/>
        </w:rPr>
        <w:footnoteRef/>
      </w:r>
      <w:r w:rsidRPr="0021586B">
        <w:t xml:space="preserve"> </w:t>
      </w:r>
      <w:r w:rsidRPr="0021586B">
        <w:tab/>
      </w:r>
      <w:r w:rsidRPr="005E3EE2">
        <w:t xml:space="preserve">FIDH (2025), </w:t>
      </w:r>
      <w:r w:rsidRPr="004F569A">
        <w:t>European Civic Space (ECF) (2026),</w:t>
      </w:r>
      <w:r w:rsidR="004F569A" w:rsidRPr="00FF276F">
        <w:t xml:space="preserve"> p. 8-17,</w:t>
      </w:r>
      <w:r w:rsidRPr="004F569A">
        <w:t xml:space="preserve"> </w:t>
      </w:r>
      <w:r w:rsidRPr="004B4587">
        <w:t>Liberties (2026)</w:t>
      </w:r>
      <w:r w:rsidR="004B4587" w:rsidRPr="00FF276F">
        <w:t>,</w:t>
      </w:r>
      <w:r w:rsidRPr="004B4587">
        <w:t xml:space="preserve"> </w:t>
      </w:r>
      <w:r w:rsidRPr="00F736BE">
        <w:t>Civil Society Europe (2026).</w:t>
      </w:r>
    </w:p>
  </w:footnote>
  <w:footnote w:id="151">
    <w:p w14:paraId="04D35BF8" w14:textId="0FC7D74B" w:rsidR="00AD63B1" w:rsidRPr="003206BA" w:rsidRDefault="00AD63B1" w:rsidP="00792295">
      <w:pPr>
        <w:pStyle w:val="FootnoteRoLReport"/>
      </w:pPr>
      <w:r>
        <w:rPr>
          <w:rStyle w:val="FootnoteReference"/>
        </w:rPr>
        <w:footnoteRef/>
      </w:r>
      <w:r>
        <w:tab/>
      </w:r>
      <w:r w:rsidR="001344EF">
        <w:t xml:space="preserve"> </w:t>
      </w:r>
      <w:r>
        <w:t xml:space="preserve">European Court of Human Rights, judgment of 30 June 2025, Fraisse and others v. France, </w:t>
      </w:r>
      <w:r w:rsidRPr="00176F5B">
        <w:t>22525/21 et</w:t>
      </w:r>
      <w:r w:rsidR="00753856">
        <w:t xml:space="preserve"> </w:t>
      </w:r>
      <w:r w:rsidRPr="00176F5B">
        <w:t>47626/21</w:t>
      </w:r>
      <w:r>
        <w:t xml:space="preserve">. </w:t>
      </w:r>
      <w:r w:rsidRPr="0061222F">
        <w:t>CNCDH (2025)</w:t>
      </w:r>
      <w:r w:rsidR="0061222F" w:rsidRPr="00FF276F">
        <w:t>, p. 24</w:t>
      </w:r>
      <w:r w:rsidR="0061222F">
        <w:t>,</w:t>
      </w:r>
      <w:r w:rsidRPr="0061222F">
        <w:t xml:space="preserve"> </w:t>
      </w:r>
      <w:r w:rsidRPr="00D36DDA">
        <w:t>Defender of Right</w:t>
      </w:r>
      <w:r w:rsidR="006A258F" w:rsidRPr="00FF276F">
        <w:t>s</w:t>
      </w:r>
      <w:r w:rsidRPr="00D36DDA">
        <w:t xml:space="preserve"> (2026a)</w:t>
      </w:r>
      <w:r w:rsidR="00D36DDA" w:rsidRPr="00FF276F">
        <w:t>, p. 108</w:t>
      </w:r>
      <w:r w:rsidRPr="00D36DDA">
        <w:t>.</w:t>
      </w:r>
      <w:r>
        <w:t xml:space="preserve"> See also its decisions 2025-129, 2025-066 and </w:t>
      </w:r>
      <w:r w:rsidR="001344EF">
        <w:t xml:space="preserve">   </w:t>
      </w:r>
      <w:r w:rsidR="004635B2">
        <w:t xml:space="preserve"> </w:t>
      </w:r>
      <w:r>
        <w:t>2025-065.</w:t>
      </w:r>
    </w:p>
  </w:footnote>
  <w:footnote w:id="152">
    <w:p w14:paraId="3B7BFDF4" w14:textId="00BBE8ED" w:rsidR="00AD63B1" w:rsidRPr="00413996" w:rsidRDefault="00AD63B1" w:rsidP="00792295">
      <w:pPr>
        <w:pStyle w:val="FootnoteRoLReport"/>
        <w:rPr>
          <w:lang w:val="en-IE"/>
        </w:rPr>
      </w:pPr>
      <w:r>
        <w:rPr>
          <w:rStyle w:val="FootnoteReference"/>
        </w:rPr>
        <w:footnoteRef/>
      </w:r>
      <w:r>
        <w:t xml:space="preserve"> </w:t>
      </w:r>
      <w:r w:rsidRPr="00413996">
        <w:rPr>
          <w:lang w:val="en-IE"/>
        </w:rPr>
        <w:tab/>
        <w:t>Country visit France, CSOs</w:t>
      </w:r>
      <w:r>
        <w:rPr>
          <w:lang w:val="en-IE"/>
        </w:rPr>
        <w:t>.</w:t>
      </w:r>
      <w:r w:rsidRPr="00413996">
        <w:rPr>
          <w:lang w:val="en-IE"/>
        </w:rPr>
        <w:t xml:space="preserve"> </w:t>
      </w:r>
      <w:r>
        <w:rPr>
          <w:lang w:val="en-IE"/>
        </w:rPr>
        <w:t xml:space="preserve">There was </w:t>
      </w:r>
      <w:r w:rsidRPr="00413996">
        <w:rPr>
          <w:lang w:val="en-IE"/>
        </w:rPr>
        <w:t>more t</w:t>
      </w:r>
      <w:r>
        <w:rPr>
          <w:lang w:val="en-IE"/>
        </w:rPr>
        <w:t>han EUR 1 billion decrease in 2025, following EUR 2.4 billion in 2024.</w:t>
      </w:r>
      <w:r w:rsidRPr="00C55840">
        <w:t xml:space="preserve"> </w:t>
      </w:r>
      <w:r>
        <w:t xml:space="preserve">In 2025, more associations were dissolved than in 2022 and in 2023 in total. In 2026, a further cut of EUR 1 billion is planned. </w:t>
      </w:r>
      <w:r w:rsidRPr="00095FCC">
        <w:t>FIDH (2025)</w:t>
      </w:r>
      <w:r w:rsidR="00095FCC" w:rsidRPr="00FF276F">
        <w:t>, pp. 60–64,</w:t>
      </w:r>
      <w:r w:rsidRPr="00095FCC">
        <w:t xml:space="preserve"> </w:t>
      </w:r>
      <w:r w:rsidRPr="00304517">
        <w:t>ECF (2026)</w:t>
      </w:r>
      <w:r w:rsidR="00304517" w:rsidRPr="00FF276F">
        <w:t>, pp. 84–85,</w:t>
      </w:r>
      <w:r>
        <w:t xml:space="preserve"> FRA (2026), pp. 15-17.  </w:t>
      </w:r>
      <w:r>
        <w:rPr>
          <w:lang w:val="en-IE" w:eastAsia="fr-FR"/>
        </w:rPr>
        <w:t>The decrease in funding</w:t>
      </w:r>
      <w:r w:rsidRPr="559E762B">
        <w:rPr>
          <w:lang w:val="en-IE" w:eastAsia="fr-FR"/>
        </w:rPr>
        <w:t xml:space="preserve"> is leading to an increasing number of dissolutions</w:t>
      </w:r>
      <w:r>
        <w:rPr>
          <w:lang w:val="en-IE" w:eastAsia="fr-FR"/>
        </w:rPr>
        <w:t>.</w:t>
      </w:r>
    </w:p>
  </w:footnote>
  <w:footnote w:id="153">
    <w:p w14:paraId="1ECA50B6" w14:textId="77777777" w:rsidR="00AD63B1" w:rsidRPr="00F544CF" w:rsidRDefault="00AD63B1" w:rsidP="00792295">
      <w:pPr>
        <w:pStyle w:val="FootnoteRoLReport"/>
      </w:pPr>
      <w:r>
        <w:rPr>
          <w:rStyle w:val="FootnoteReference"/>
        </w:rPr>
        <w:footnoteRef/>
      </w:r>
      <w:r>
        <w:t xml:space="preserve"> </w:t>
      </w:r>
      <w:r>
        <w:tab/>
        <w:t xml:space="preserve">EUR 9.5 billion in </w:t>
      </w:r>
      <w:r w:rsidRPr="00956EC0">
        <w:t>2024. French Gover</w:t>
      </w:r>
      <w:r>
        <w:t xml:space="preserve">nment (2026b), p. 35. </w:t>
      </w:r>
    </w:p>
  </w:footnote>
  <w:footnote w:id="154">
    <w:p w14:paraId="52870C24" w14:textId="77777777" w:rsidR="00AD63B1" w:rsidRPr="00A74598" w:rsidRDefault="00AD63B1" w:rsidP="00792295">
      <w:pPr>
        <w:pStyle w:val="FootnoteRoLReport"/>
      </w:pPr>
      <w:r>
        <w:rPr>
          <w:rStyle w:val="FootnoteReference"/>
        </w:rPr>
        <w:footnoteRef/>
      </w:r>
      <w:r>
        <w:t xml:space="preserve"> </w:t>
      </w:r>
      <w:r>
        <w:tab/>
        <w:t>See 2025, 2024, 2023, 2022 Rule of Law Reports, chapters on France, resp. pp. 14, 22, 24 and 23-24.</w:t>
      </w:r>
    </w:p>
  </w:footnote>
  <w:footnote w:id="155">
    <w:p w14:paraId="21E9997F" w14:textId="64C64AA0" w:rsidR="00AD63B1" w:rsidRPr="00DA02EC" w:rsidRDefault="00AD63B1" w:rsidP="00792295">
      <w:pPr>
        <w:pStyle w:val="FootnoteRoLReport"/>
      </w:pPr>
      <w:r>
        <w:rPr>
          <w:rStyle w:val="FootnoteReference"/>
        </w:rPr>
        <w:footnoteRef/>
      </w:r>
      <w:r>
        <w:t xml:space="preserve"> E.g. </w:t>
      </w:r>
      <w:r w:rsidRPr="00EC658B">
        <w:t xml:space="preserve">Calvados family planning association, </w:t>
      </w:r>
      <w:r w:rsidRPr="0021586B">
        <w:t>for example, received no subsidies in 2025 on the grounds that it</w:t>
      </w:r>
      <w:r w:rsidR="00B12E47">
        <w:t xml:space="preserve"> </w:t>
      </w:r>
      <w:r w:rsidRPr="0021586B">
        <w:t xml:space="preserve">had failed to respect the principle of neutrality. </w:t>
      </w:r>
      <w:r w:rsidRPr="005D0F1A">
        <w:t>CNCDH (2025)</w:t>
      </w:r>
      <w:r w:rsidR="005D0F1A" w:rsidRPr="00FF276F">
        <w:t>, pp. 15 - 16</w:t>
      </w:r>
      <w:r w:rsidRPr="005D0F1A">
        <w:t xml:space="preserve">; </w:t>
      </w:r>
      <w:r w:rsidRPr="00CD1734">
        <w:t>Defender of Rights (2025a)</w:t>
      </w:r>
      <w:r w:rsidR="00A47497" w:rsidRPr="00FF276F">
        <w:t>, pp. 142-145</w:t>
      </w:r>
      <w:r w:rsidRPr="00CD1734">
        <w:t>,</w:t>
      </w:r>
      <w:r w:rsidRPr="0021586B">
        <w:t xml:space="preserve"> Decision 2025-199</w:t>
      </w:r>
      <w:r w:rsidRPr="00DA02EC">
        <w:t>; Observatory of associative freedoms (2026</w:t>
      </w:r>
      <w:r w:rsidR="004B07A7" w:rsidRPr="00FF276F">
        <w:t>a</w:t>
      </w:r>
      <w:r w:rsidRPr="00DA02EC">
        <w:t>); FIDH (2025)</w:t>
      </w:r>
      <w:r w:rsidR="00716D41" w:rsidRPr="00FF276F">
        <w:t>,</w:t>
      </w:r>
      <w:r w:rsidR="004D472F" w:rsidRPr="00FF276F">
        <w:t xml:space="preserve"> pp. 60-64</w:t>
      </w:r>
      <w:r w:rsidRPr="00DA02EC">
        <w:t xml:space="preserve"> European Civic Space (2025)</w:t>
      </w:r>
      <w:r w:rsidR="00716D41" w:rsidRPr="00FF276F">
        <w:t>, p. 14</w:t>
      </w:r>
      <w:r w:rsidR="00716D41" w:rsidRPr="00DA02EC">
        <w:t>,</w:t>
      </w:r>
      <w:r w:rsidRPr="00DA02EC">
        <w:t xml:space="preserve"> Human Rights Watch (2026)</w:t>
      </w:r>
      <w:r w:rsidR="00F736BE" w:rsidRPr="00FF276F">
        <w:t>,</w:t>
      </w:r>
      <w:r w:rsidRPr="00DA02EC">
        <w:t xml:space="preserve"> FRA(2026)</w:t>
      </w:r>
      <w:r w:rsidR="001613E6" w:rsidRPr="00FF276F">
        <w:t>, written input, pp. 139-141</w:t>
      </w:r>
      <w:r w:rsidRPr="00DA02EC">
        <w:t>. ECF (2026), p. 8. It is difficult to assess how often the tool has been used since it came into force, as highlighted by an assessment of the tool by the French National Assembly's legal commission in 2025.</w:t>
      </w:r>
    </w:p>
  </w:footnote>
  <w:footnote w:id="156">
    <w:p w14:paraId="19B25D81" w14:textId="2629C9F9" w:rsidR="00AD63B1" w:rsidRPr="0021586B" w:rsidRDefault="00AD63B1" w:rsidP="00792295">
      <w:pPr>
        <w:pStyle w:val="FootnoteRoLReport"/>
      </w:pPr>
      <w:r w:rsidRPr="00DA02EC">
        <w:rPr>
          <w:rStyle w:val="FootnoteReference"/>
        </w:rPr>
        <w:footnoteRef/>
      </w:r>
      <w:r w:rsidRPr="00DA02EC">
        <w:t xml:space="preserve"> </w:t>
      </w:r>
      <w:r w:rsidRPr="00DA02EC">
        <w:tab/>
        <w:t>University of Lille (2025), results of the first national survey on relations between associations and public authorities. See also Human Rights Watch (2025)</w:t>
      </w:r>
      <w:r w:rsidRPr="00DA02EC">
        <w:rPr>
          <w:i/>
          <w:iCs/>
        </w:rPr>
        <w:t xml:space="preserve">. </w:t>
      </w:r>
      <w:r w:rsidRPr="00DA02EC">
        <w:t xml:space="preserve">ECF (2026), p. 13. See also FRA(2026), pp. </w:t>
      </w:r>
      <w:r w:rsidR="000863EC" w:rsidRPr="00DA02EC">
        <w:t>139 - 141</w:t>
      </w:r>
      <w:r w:rsidRPr="00DA02EC">
        <w:t>. Observatory of Associative Freedoms (2026b).</w:t>
      </w:r>
    </w:p>
  </w:footnote>
  <w:footnote w:id="157">
    <w:p w14:paraId="6AB9D276" w14:textId="5CB8DDDF" w:rsidR="00AD63B1" w:rsidRPr="0021586B" w:rsidRDefault="00AD63B1" w:rsidP="00792295">
      <w:pPr>
        <w:pStyle w:val="FootnoteRoLReport"/>
      </w:pPr>
      <w:r w:rsidRPr="0021586B">
        <w:rPr>
          <w:rStyle w:val="FootnoteReference"/>
        </w:rPr>
        <w:footnoteRef/>
      </w:r>
      <w:r w:rsidRPr="0021586B">
        <w:t xml:space="preserve"> </w:t>
      </w:r>
      <w:r w:rsidRPr="0021586B">
        <w:tab/>
        <w:t>The Support Movement for Environmentalists recorded 95 legal proceedings in 2025, up from 55 in 2023, FRA(2026),</w:t>
      </w:r>
      <w:r w:rsidR="00A11889">
        <w:t xml:space="preserve"> written input,</w:t>
      </w:r>
      <w:r w:rsidRPr="0021586B">
        <w:t xml:space="preserve"> p</w:t>
      </w:r>
      <w:r w:rsidR="00A11889">
        <w:t>p. 133-135</w:t>
      </w:r>
      <w:r w:rsidRPr="0021586B">
        <w:t xml:space="preserve">. See also ECtHR, Case </w:t>
      </w:r>
      <w:r w:rsidRPr="0021586B">
        <w:rPr>
          <w:i/>
          <w:iCs/>
        </w:rPr>
        <w:t>Ludes and Others v. France</w:t>
      </w:r>
      <w:r w:rsidRPr="0021586B">
        <w:t>, 3 July 2025.</w:t>
      </w:r>
    </w:p>
  </w:footnote>
  <w:footnote w:id="158">
    <w:p w14:paraId="75CBE656" w14:textId="5A21A796" w:rsidR="00AD63B1" w:rsidRPr="00E40DE5" w:rsidRDefault="00AD63B1" w:rsidP="00792295">
      <w:pPr>
        <w:pStyle w:val="FootnoteRoLReport"/>
      </w:pPr>
      <w:r w:rsidRPr="0021586B">
        <w:rPr>
          <w:rStyle w:val="FootnoteReference"/>
        </w:rPr>
        <w:footnoteRef/>
      </w:r>
      <w:r w:rsidRPr="0021586B">
        <w:t xml:space="preserve"> </w:t>
      </w:r>
      <w:r w:rsidRPr="0021586B">
        <w:tab/>
      </w:r>
      <w:r w:rsidRPr="006D3E1E">
        <w:t>ENNHRI (2026)</w:t>
      </w:r>
      <w:r w:rsidR="006D3E1E" w:rsidRPr="00FF276F">
        <w:t>, p. 1</w:t>
      </w:r>
      <w:r w:rsidRPr="006D3E1E">
        <w:t>.</w:t>
      </w:r>
      <w:r w:rsidRPr="004E288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7A2E3" w14:textId="77777777" w:rsidR="00CD293F" w:rsidRPr="00CD293F" w:rsidRDefault="00CD293F" w:rsidP="00CD293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88049" w14:textId="77777777" w:rsidR="00CD293F" w:rsidRPr="00CD293F" w:rsidRDefault="00CD293F" w:rsidP="00CD293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F6CA5" w14:textId="77777777" w:rsidR="00CD293F" w:rsidRPr="00CD293F" w:rsidRDefault="00CD293F" w:rsidP="00CD293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7FD57" w14:textId="69C1B408" w:rsidR="00AD63B1" w:rsidRDefault="00AD63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96C0F" w14:textId="47247A99" w:rsidR="00AD63B1" w:rsidRPr="005B4B38" w:rsidRDefault="00AD63B1">
    <w:pPr>
      <w:pStyle w:val="Header"/>
      <w:jc w:val="right"/>
      <w:rPr>
        <w:b/>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86D37" w14:textId="2468F668" w:rsidR="00AD63B1" w:rsidRDefault="00AD6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C847AE"/>
    <w:multiLevelType w:val="hybridMultilevel"/>
    <w:tmpl w:val="944EE194"/>
    <w:lvl w:ilvl="0" w:tplc="D43A6CA0">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D692002"/>
    <w:multiLevelType w:val="hybridMultilevel"/>
    <w:tmpl w:val="F75E5F60"/>
    <w:lvl w:ilvl="0" w:tplc="A2542086">
      <w:start w:val="1"/>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F27683"/>
    <w:multiLevelType w:val="hybridMultilevel"/>
    <w:tmpl w:val="B088DB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BF75E9B"/>
    <w:multiLevelType w:val="hybridMultilevel"/>
    <w:tmpl w:val="6AD60A10"/>
    <w:lvl w:ilvl="0" w:tplc="4D3EB034">
      <w:start w:val="1"/>
      <w:numFmt w:val="decimal"/>
      <w:lvlText w:val="%1)"/>
      <w:lvlJc w:val="left"/>
      <w:pPr>
        <w:ind w:left="720" w:hanging="360"/>
      </w:pPr>
    </w:lvl>
    <w:lvl w:ilvl="1" w:tplc="4F862896">
      <w:start w:val="1"/>
      <w:numFmt w:val="decimal"/>
      <w:lvlText w:val="%2)"/>
      <w:lvlJc w:val="left"/>
      <w:pPr>
        <w:ind w:left="720" w:hanging="360"/>
      </w:pPr>
    </w:lvl>
    <w:lvl w:ilvl="2" w:tplc="8D7C322A">
      <w:start w:val="1"/>
      <w:numFmt w:val="decimal"/>
      <w:lvlText w:val="%3)"/>
      <w:lvlJc w:val="left"/>
      <w:pPr>
        <w:ind w:left="720" w:hanging="360"/>
      </w:pPr>
    </w:lvl>
    <w:lvl w:ilvl="3" w:tplc="DE2E45B2">
      <w:start w:val="1"/>
      <w:numFmt w:val="decimal"/>
      <w:lvlText w:val="%4)"/>
      <w:lvlJc w:val="left"/>
      <w:pPr>
        <w:ind w:left="720" w:hanging="360"/>
      </w:pPr>
    </w:lvl>
    <w:lvl w:ilvl="4" w:tplc="1BF84C52">
      <w:start w:val="1"/>
      <w:numFmt w:val="decimal"/>
      <w:lvlText w:val="%5)"/>
      <w:lvlJc w:val="left"/>
      <w:pPr>
        <w:ind w:left="720" w:hanging="360"/>
      </w:pPr>
    </w:lvl>
    <w:lvl w:ilvl="5" w:tplc="67826B0E">
      <w:start w:val="1"/>
      <w:numFmt w:val="decimal"/>
      <w:lvlText w:val="%6)"/>
      <w:lvlJc w:val="left"/>
      <w:pPr>
        <w:ind w:left="720" w:hanging="360"/>
      </w:pPr>
    </w:lvl>
    <w:lvl w:ilvl="6" w:tplc="6298E082">
      <w:start w:val="1"/>
      <w:numFmt w:val="decimal"/>
      <w:lvlText w:val="%7)"/>
      <w:lvlJc w:val="left"/>
      <w:pPr>
        <w:ind w:left="720" w:hanging="360"/>
      </w:pPr>
    </w:lvl>
    <w:lvl w:ilvl="7" w:tplc="839ECA7C">
      <w:start w:val="1"/>
      <w:numFmt w:val="decimal"/>
      <w:lvlText w:val="%8)"/>
      <w:lvlJc w:val="left"/>
      <w:pPr>
        <w:ind w:left="720" w:hanging="360"/>
      </w:pPr>
    </w:lvl>
    <w:lvl w:ilvl="8" w:tplc="9E8E35E6">
      <w:start w:val="1"/>
      <w:numFmt w:val="decimal"/>
      <w:lvlText w:val="%9)"/>
      <w:lvlJc w:val="left"/>
      <w:pPr>
        <w:ind w:left="720" w:hanging="360"/>
      </w:pPr>
    </w:lvl>
  </w:abstractNum>
  <w:abstractNum w:abstractNumId="12"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6"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ED4596"/>
    <w:multiLevelType w:val="hybridMultilevel"/>
    <w:tmpl w:val="E75A00D8"/>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9"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0615AD"/>
    <w:multiLevelType w:val="hybridMultilevel"/>
    <w:tmpl w:val="64022A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D3166FD"/>
    <w:multiLevelType w:val="hybridMultilevel"/>
    <w:tmpl w:val="9422663E"/>
    <w:lvl w:ilvl="0" w:tplc="F71A6388">
      <w:start w:val="1"/>
      <w:numFmt w:val="decimal"/>
      <w:lvlText w:val="%1."/>
      <w:lvlJc w:val="left"/>
      <w:pPr>
        <w:ind w:left="1440" w:hanging="360"/>
      </w:pPr>
    </w:lvl>
    <w:lvl w:ilvl="1" w:tplc="C4A81A3A">
      <w:start w:val="1"/>
      <w:numFmt w:val="decimal"/>
      <w:lvlText w:val="%2."/>
      <w:lvlJc w:val="left"/>
      <w:pPr>
        <w:ind w:left="1440" w:hanging="360"/>
      </w:pPr>
    </w:lvl>
    <w:lvl w:ilvl="2" w:tplc="6F70A13A">
      <w:start w:val="1"/>
      <w:numFmt w:val="decimal"/>
      <w:lvlText w:val="%3."/>
      <w:lvlJc w:val="left"/>
      <w:pPr>
        <w:ind w:left="1440" w:hanging="360"/>
      </w:pPr>
    </w:lvl>
    <w:lvl w:ilvl="3" w:tplc="B00E8132">
      <w:start w:val="1"/>
      <w:numFmt w:val="decimal"/>
      <w:lvlText w:val="%4."/>
      <w:lvlJc w:val="left"/>
      <w:pPr>
        <w:ind w:left="1440" w:hanging="360"/>
      </w:pPr>
    </w:lvl>
    <w:lvl w:ilvl="4" w:tplc="BA56152C">
      <w:start w:val="1"/>
      <w:numFmt w:val="decimal"/>
      <w:lvlText w:val="%5."/>
      <w:lvlJc w:val="left"/>
      <w:pPr>
        <w:ind w:left="1440" w:hanging="360"/>
      </w:pPr>
    </w:lvl>
    <w:lvl w:ilvl="5" w:tplc="8FAC3656">
      <w:start w:val="1"/>
      <w:numFmt w:val="decimal"/>
      <w:lvlText w:val="%6."/>
      <w:lvlJc w:val="left"/>
      <w:pPr>
        <w:ind w:left="1440" w:hanging="360"/>
      </w:pPr>
    </w:lvl>
    <w:lvl w:ilvl="6" w:tplc="D5A0FFEC">
      <w:start w:val="1"/>
      <w:numFmt w:val="decimal"/>
      <w:lvlText w:val="%7."/>
      <w:lvlJc w:val="left"/>
      <w:pPr>
        <w:ind w:left="1440" w:hanging="360"/>
      </w:pPr>
    </w:lvl>
    <w:lvl w:ilvl="7" w:tplc="A35EF014">
      <w:start w:val="1"/>
      <w:numFmt w:val="decimal"/>
      <w:lvlText w:val="%8."/>
      <w:lvlJc w:val="left"/>
      <w:pPr>
        <w:ind w:left="1440" w:hanging="360"/>
      </w:pPr>
    </w:lvl>
    <w:lvl w:ilvl="8" w:tplc="E306ED22">
      <w:start w:val="1"/>
      <w:numFmt w:val="decimal"/>
      <w:lvlText w:val="%9."/>
      <w:lvlJc w:val="left"/>
      <w:pPr>
        <w:ind w:left="1440" w:hanging="360"/>
      </w:pPr>
    </w:lvl>
  </w:abstractNum>
  <w:abstractNum w:abstractNumId="27" w15:restartNumberingAfterBreak="0">
    <w:nsid w:val="5D3462E4"/>
    <w:multiLevelType w:val="hybridMultilevel"/>
    <w:tmpl w:val="8F7C030A"/>
    <w:lvl w:ilvl="0" w:tplc="4426D2C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8"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9" w15:restartNumberingAfterBreak="0">
    <w:nsid w:val="66093060"/>
    <w:multiLevelType w:val="hybridMultilevel"/>
    <w:tmpl w:val="4A2CCE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AB9767B"/>
    <w:multiLevelType w:val="hybridMultilevel"/>
    <w:tmpl w:val="606EDE1E"/>
    <w:lvl w:ilvl="0" w:tplc="D29AFC36">
      <w:start w:val="1"/>
      <w:numFmt w:val="decimal"/>
      <w:lvlText w:val="%1."/>
      <w:lvlJc w:val="left"/>
      <w:pPr>
        <w:ind w:left="1440" w:hanging="360"/>
      </w:pPr>
    </w:lvl>
    <w:lvl w:ilvl="1" w:tplc="56FC65A0">
      <w:start w:val="1"/>
      <w:numFmt w:val="decimal"/>
      <w:lvlText w:val="%2."/>
      <w:lvlJc w:val="left"/>
      <w:pPr>
        <w:ind w:left="1440" w:hanging="360"/>
      </w:pPr>
    </w:lvl>
    <w:lvl w:ilvl="2" w:tplc="354020C8">
      <w:start w:val="1"/>
      <w:numFmt w:val="decimal"/>
      <w:lvlText w:val="%3."/>
      <w:lvlJc w:val="left"/>
      <w:pPr>
        <w:ind w:left="1440" w:hanging="360"/>
      </w:pPr>
    </w:lvl>
    <w:lvl w:ilvl="3" w:tplc="07CEC2F6">
      <w:start w:val="1"/>
      <w:numFmt w:val="decimal"/>
      <w:lvlText w:val="%4."/>
      <w:lvlJc w:val="left"/>
      <w:pPr>
        <w:ind w:left="1440" w:hanging="360"/>
      </w:pPr>
    </w:lvl>
    <w:lvl w:ilvl="4" w:tplc="D8CE1592">
      <w:start w:val="1"/>
      <w:numFmt w:val="decimal"/>
      <w:lvlText w:val="%5."/>
      <w:lvlJc w:val="left"/>
      <w:pPr>
        <w:ind w:left="1440" w:hanging="360"/>
      </w:pPr>
    </w:lvl>
    <w:lvl w:ilvl="5" w:tplc="FC84F4E8">
      <w:start w:val="1"/>
      <w:numFmt w:val="decimal"/>
      <w:lvlText w:val="%6."/>
      <w:lvlJc w:val="left"/>
      <w:pPr>
        <w:ind w:left="1440" w:hanging="360"/>
      </w:pPr>
    </w:lvl>
    <w:lvl w:ilvl="6" w:tplc="EEC82A56">
      <w:start w:val="1"/>
      <w:numFmt w:val="decimal"/>
      <w:lvlText w:val="%7."/>
      <w:lvlJc w:val="left"/>
      <w:pPr>
        <w:ind w:left="1440" w:hanging="360"/>
      </w:pPr>
    </w:lvl>
    <w:lvl w:ilvl="7" w:tplc="9FA626C8">
      <w:start w:val="1"/>
      <w:numFmt w:val="decimal"/>
      <w:lvlText w:val="%8."/>
      <w:lvlJc w:val="left"/>
      <w:pPr>
        <w:ind w:left="1440" w:hanging="360"/>
      </w:pPr>
    </w:lvl>
    <w:lvl w:ilvl="8" w:tplc="491ADB10">
      <w:start w:val="1"/>
      <w:numFmt w:val="decimal"/>
      <w:lvlText w:val="%9."/>
      <w:lvlJc w:val="left"/>
      <w:pPr>
        <w:ind w:left="1440" w:hanging="360"/>
      </w:pPr>
    </w:lvl>
  </w:abstractNum>
  <w:abstractNum w:abstractNumId="32"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4"/>
  </w:num>
  <w:num w:numId="3">
    <w:abstractNumId w:val="13"/>
  </w:num>
  <w:num w:numId="4">
    <w:abstractNumId w:val="33"/>
  </w:num>
  <w:num w:numId="5">
    <w:abstractNumId w:val="23"/>
  </w:num>
  <w:num w:numId="6">
    <w:abstractNumId w:val="20"/>
  </w:num>
  <w:num w:numId="7">
    <w:abstractNumId w:val="12"/>
  </w:num>
  <w:num w:numId="8">
    <w:abstractNumId w:val="7"/>
  </w:num>
  <w:num w:numId="9">
    <w:abstractNumId w:val="5"/>
  </w:num>
  <w:num w:numId="10">
    <w:abstractNumId w:val="4"/>
  </w:num>
  <w:num w:numId="11">
    <w:abstractNumId w:val="22"/>
  </w:num>
  <w:num w:numId="12">
    <w:abstractNumId w:val="9"/>
  </w:num>
  <w:num w:numId="13">
    <w:abstractNumId w:val="3"/>
  </w:num>
  <w:num w:numId="14">
    <w:abstractNumId w:val="30"/>
  </w:num>
  <w:num w:numId="15">
    <w:abstractNumId w:val="25"/>
  </w:num>
  <w:num w:numId="16">
    <w:abstractNumId w:val="17"/>
  </w:num>
  <w:num w:numId="17">
    <w:abstractNumId w:val="10"/>
  </w:num>
  <w:num w:numId="18">
    <w:abstractNumId w:val="16"/>
  </w:num>
  <w:num w:numId="19">
    <w:abstractNumId w:val="0"/>
  </w:num>
  <w:num w:numId="20">
    <w:abstractNumId w:val="15"/>
  </w:num>
  <w:num w:numId="21">
    <w:abstractNumId w:val="8"/>
  </w:num>
  <w:num w:numId="22">
    <w:abstractNumId w:val="19"/>
  </w:num>
  <w:num w:numId="23">
    <w:abstractNumId w:val="32"/>
  </w:num>
  <w:num w:numId="24">
    <w:abstractNumId w:val="24"/>
  </w:num>
  <w:num w:numId="25">
    <w:abstractNumId w:val="28"/>
  </w:num>
  <w:num w:numId="26">
    <w:abstractNumId w:val="29"/>
  </w:num>
  <w:num w:numId="27">
    <w:abstractNumId w:val="2"/>
  </w:num>
  <w:num w:numId="28">
    <w:abstractNumId w:val="11"/>
  </w:num>
  <w:num w:numId="29">
    <w:abstractNumId w:val="26"/>
  </w:num>
  <w:num w:numId="30">
    <w:abstractNumId w:val="31"/>
  </w:num>
  <w:num w:numId="31">
    <w:abstractNumId w:val="27"/>
  </w:num>
  <w:num w:numId="32">
    <w:abstractNumId w:val="18"/>
  </w:num>
  <w:num w:numId="33">
    <w:abstractNumId w:val="1"/>
  </w:num>
  <w:num w:numId="34">
    <w:abstractNumId w:val="6"/>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874C0155-49FF-4F7D-9177-5E0E1245C1E9"/>
    <w:docVar w:name="LW_COVERPAGE_TYPE" w:val="1"/>
    <w:docVar w:name="LW_CROSSREFERENCE" w:val="{COM(2026) 900 final} - {SWD(2026) 901 final} - {SWD(2026) 902 final} - {SWD(2026) 903 final} - {SWD(2026) 904 final} - {SWD(2026) 905 final} - {SWD(2026) 906 final} - {SWD(2026) 907 final} - {SWD(2026) 908 final} - {SWD(2026) 909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b_Country Chapter on the rule of law situation in France"/>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257"/>
    <w:rsid w:val="00001716"/>
    <w:rsid w:val="0000239B"/>
    <w:rsid w:val="000068D9"/>
    <w:rsid w:val="000108D2"/>
    <w:rsid w:val="00011207"/>
    <w:rsid w:val="000113EC"/>
    <w:rsid w:val="00011823"/>
    <w:rsid w:val="0001306D"/>
    <w:rsid w:val="000147EC"/>
    <w:rsid w:val="00017618"/>
    <w:rsid w:val="00017B28"/>
    <w:rsid w:val="000201D1"/>
    <w:rsid w:val="0002344C"/>
    <w:rsid w:val="00023B6C"/>
    <w:rsid w:val="00025703"/>
    <w:rsid w:val="00026D34"/>
    <w:rsid w:val="00027184"/>
    <w:rsid w:val="00027FF1"/>
    <w:rsid w:val="0003193D"/>
    <w:rsid w:val="00040398"/>
    <w:rsid w:val="0004102E"/>
    <w:rsid w:val="00045898"/>
    <w:rsid w:val="00046499"/>
    <w:rsid w:val="00051327"/>
    <w:rsid w:val="00053A7C"/>
    <w:rsid w:val="00061F29"/>
    <w:rsid w:val="000640C3"/>
    <w:rsid w:val="00066D8D"/>
    <w:rsid w:val="000678C1"/>
    <w:rsid w:val="0006794A"/>
    <w:rsid w:val="00072B78"/>
    <w:rsid w:val="00073AA9"/>
    <w:rsid w:val="000757FF"/>
    <w:rsid w:val="00076B37"/>
    <w:rsid w:val="00077A70"/>
    <w:rsid w:val="00080ED9"/>
    <w:rsid w:val="000830E3"/>
    <w:rsid w:val="000835E5"/>
    <w:rsid w:val="00084269"/>
    <w:rsid w:val="0008477A"/>
    <w:rsid w:val="00084EBD"/>
    <w:rsid w:val="00084EC5"/>
    <w:rsid w:val="000863EC"/>
    <w:rsid w:val="000875DA"/>
    <w:rsid w:val="00087A87"/>
    <w:rsid w:val="00091803"/>
    <w:rsid w:val="00095FCC"/>
    <w:rsid w:val="00097E8F"/>
    <w:rsid w:val="000A0F2F"/>
    <w:rsid w:val="000A1F2F"/>
    <w:rsid w:val="000A3088"/>
    <w:rsid w:val="000A61BA"/>
    <w:rsid w:val="000A6870"/>
    <w:rsid w:val="000A6872"/>
    <w:rsid w:val="000B544F"/>
    <w:rsid w:val="000C224E"/>
    <w:rsid w:val="000C34EB"/>
    <w:rsid w:val="000C5963"/>
    <w:rsid w:val="000C624C"/>
    <w:rsid w:val="000D1567"/>
    <w:rsid w:val="000D31FA"/>
    <w:rsid w:val="000D3F33"/>
    <w:rsid w:val="000D4318"/>
    <w:rsid w:val="000D5942"/>
    <w:rsid w:val="000D7461"/>
    <w:rsid w:val="000D7560"/>
    <w:rsid w:val="000E1C3E"/>
    <w:rsid w:val="000E22FC"/>
    <w:rsid w:val="000E45AF"/>
    <w:rsid w:val="000E6CA0"/>
    <w:rsid w:val="000F1D8B"/>
    <w:rsid w:val="000F2A41"/>
    <w:rsid w:val="000F5B4E"/>
    <w:rsid w:val="00100FC5"/>
    <w:rsid w:val="0010136B"/>
    <w:rsid w:val="00102058"/>
    <w:rsid w:val="00102853"/>
    <w:rsid w:val="00110F46"/>
    <w:rsid w:val="00112269"/>
    <w:rsid w:val="001144BA"/>
    <w:rsid w:val="0011647D"/>
    <w:rsid w:val="00117B15"/>
    <w:rsid w:val="00120148"/>
    <w:rsid w:val="00120B08"/>
    <w:rsid w:val="0012329A"/>
    <w:rsid w:val="00124C2A"/>
    <w:rsid w:val="00127B36"/>
    <w:rsid w:val="00130F0D"/>
    <w:rsid w:val="001344EF"/>
    <w:rsid w:val="00135962"/>
    <w:rsid w:val="001379B8"/>
    <w:rsid w:val="00141029"/>
    <w:rsid w:val="001418DB"/>
    <w:rsid w:val="00142FBA"/>
    <w:rsid w:val="00143A78"/>
    <w:rsid w:val="00143ACC"/>
    <w:rsid w:val="00146D46"/>
    <w:rsid w:val="00152E38"/>
    <w:rsid w:val="00154EB8"/>
    <w:rsid w:val="001554AF"/>
    <w:rsid w:val="001613E6"/>
    <w:rsid w:val="00164826"/>
    <w:rsid w:val="00176D65"/>
    <w:rsid w:val="0018019F"/>
    <w:rsid w:val="00180C84"/>
    <w:rsid w:val="001829D8"/>
    <w:rsid w:val="00183BEA"/>
    <w:rsid w:val="001913DE"/>
    <w:rsid w:val="00192EAF"/>
    <w:rsid w:val="00193FB2"/>
    <w:rsid w:val="00194258"/>
    <w:rsid w:val="00196425"/>
    <w:rsid w:val="00196B06"/>
    <w:rsid w:val="00197018"/>
    <w:rsid w:val="001A2885"/>
    <w:rsid w:val="001A404C"/>
    <w:rsid w:val="001A4E2A"/>
    <w:rsid w:val="001A66AF"/>
    <w:rsid w:val="001A6857"/>
    <w:rsid w:val="001B20C1"/>
    <w:rsid w:val="001B732D"/>
    <w:rsid w:val="001C04FF"/>
    <w:rsid w:val="001C3CDB"/>
    <w:rsid w:val="001C4AE2"/>
    <w:rsid w:val="001C4F95"/>
    <w:rsid w:val="001C7A61"/>
    <w:rsid w:val="001D3656"/>
    <w:rsid w:val="001D3877"/>
    <w:rsid w:val="001D47ED"/>
    <w:rsid w:val="001D71A4"/>
    <w:rsid w:val="001E1113"/>
    <w:rsid w:val="001E14D4"/>
    <w:rsid w:val="001E15CF"/>
    <w:rsid w:val="001E6FCA"/>
    <w:rsid w:val="001E7793"/>
    <w:rsid w:val="001F018D"/>
    <w:rsid w:val="001F20B3"/>
    <w:rsid w:val="001F635B"/>
    <w:rsid w:val="00200F68"/>
    <w:rsid w:val="00203098"/>
    <w:rsid w:val="002050FD"/>
    <w:rsid w:val="0020592A"/>
    <w:rsid w:val="00211280"/>
    <w:rsid w:val="002145EB"/>
    <w:rsid w:val="002152B8"/>
    <w:rsid w:val="002204F5"/>
    <w:rsid w:val="00220BFE"/>
    <w:rsid w:val="00221733"/>
    <w:rsid w:val="0022236A"/>
    <w:rsid w:val="00222AD8"/>
    <w:rsid w:val="00226AA6"/>
    <w:rsid w:val="00227A6B"/>
    <w:rsid w:val="00230B73"/>
    <w:rsid w:val="00231427"/>
    <w:rsid w:val="00232E3A"/>
    <w:rsid w:val="00234545"/>
    <w:rsid w:val="002374DA"/>
    <w:rsid w:val="00240EC8"/>
    <w:rsid w:val="0024147E"/>
    <w:rsid w:val="00241ED7"/>
    <w:rsid w:val="0024232E"/>
    <w:rsid w:val="0024379F"/>
    <w:rsid w:val="00244143"/>
    <w:rsid w:val="00245F9F"/>
    <w:rsid w:val="00247898"/>
    <w:rsid w:val="00254023"/>
    <w:rsid w:val="002560CE"/>
    <w:rsid w:val="002606B9"/>
    <w:rsid w:val="00263913"/>
    <w:rsid w:val="002647A2"/>
    <w:rsid w:val="002759D8"/>
    <w:rsid w:val="0027625C"/>
    <w:rsid w:val="002834D5"/>
    <w:rsid w:val="00286986"/>
    <w:rsid w:val="00286BDE"/>
    <w:rsid w:val="0028715F"/>
    <w:rsid w:val="002927EA"/>
    <w:rsid w:val="0029399F"/>
    <w:rsid w:val="00294918"/>
    <w:rsid w:val="00295BBA"/>
    <w:rsid w:val="002A1A2F"/>
    <w:rsid w:val="002A5B73"/>
    <w:rsid w:val="002B15C4"/>
    <w:rsid w:val="002B1EB1"/>
    <w:rsid w:val="002B2CDF"/>
    <w:rsid w:val="002B3A74"/>
    <w:rsid w:val="002B4FEF"/>
    <w:rsid w:val="002C00BF"/>
    <w:rsid w:val="002C1EA2"/>
    <w:rsid w:val="002C4084"/>
    <w:rsid w:val="002D1B99"/>
    <w:rsid w:val="002D5B71"/>
    <w:rsid w:val="002E2505"/>
    <w:rsid w:val="002E3596"/>
    <w:rsid w:val="002E463B"/>
    <w:rsid w:val="002E556A"/>
    <w:rsid w:val="002E74D7"/>
    <w:rsid w:val="002F12D0"/>
    <w:rsid w:val="002F1AA1"/>
    <w:rsid w:val="002F2F80"/>
    <w:rsid w:val="002F47D0"/>
    <w:rsid w:val="002F5709"/>
    <w:rsid w:val="002F7AB8"/>
    <w:rsid w:val="002F7B37"/>
    <w:rsid w:val="00300EDC"/>
    <w:rsid w:val="00303378"/>
    <w:rsid w:val="00303B81"/>
    <w:rsid w:val="00304517"/>
    <w:rsid w:val="00305220"/>
    <w:rsid w:val="0031365F"/>
    <w:rsid w:val="003138D8"/>
    <w:rsid w:val="00313B4D"/>
    <w:rsid w:val="00315EC0"/>
    <w:rsid w:val="003173E3"/>
    <w:rsid w:val="003208C7"/>
    <w:rsid w:val="00320D82"/>
    <w:rsid w:val="00322254"/>
    <w:rsid w:val="003225E4"/>
    <w:rsid w:val="00322D67"/>
    <w:rsid w:val="00323845"/>
    <w:rsid w:val="00323B30"/>
    <w:rsid w:val="003258F2"/>
    <w:rsid w:val="00325F7E"/>
    <w:rsid w:val="00331334"/>
    <w:rsid w:val="0033190D"/>
    <w:rsid w:val="00335D0D"/>
    <w:rsid w:val="0033640E"/>
    <w:rsid w:val="00343253"/>
    <w:rsid w:val="00344984"/>
    <w:rsid w:val="00344EE9"/>
    <w:rsid w:val="00346593"/>
    <w:rsid w:val="00347409"/>
    <w:rsid w:val="003502C7"/>
    <w:rsid w:val="0036456D"/>
    <w:rsid w:val="003662CA"/>
    <w:rsid w:val="003701F8"/>
    <w:rsid w:val="00370FC4"/>
    <w:rsid w:val="00372B5B"/>
    <w:rsid w:val="00374A41"/>
    <w:rsid w:val="00381221"/>
    <w:rsid w:val="003837E9"/>
    <w:rsid w:val="003843DE"/>
    <w:rsid w:val="00384835"/>
    <w:rsid w:val="00385740"/>
    <w:rsid w:val="003877AE"/>
    <w:rsid w:val="00387B34"/>
    <w:rsid w:val="003917F5"/>
    <w:rsid w:val="003A1D82"/>
    <w:rsid w:val="003A30B3"/>
    <w:rsid w:val="003B1923"/>
    <w:rsid w:val="003C33D9"/>
    <w:rsid w:val="003C3675"/>
    <w:rsid w:val="003D2689"/>
    <w:rsid w:val="003D45E4"/>
    <w:rsid w:val="003D6EF6"/>
    <w:rsid w:val="003D753F"/>
    <w:rsid w:val="003E0A65"/>
    <w:rsid w:val="003E14D8"/>
    <w:rsid w:val="003E2A04"/>
    <w:rsid w:val="003E3B33"/>
    <w:rsid w:val="003E46D0"/>
    <w:rsid w:val="003F4DFB"/>
    <w:rsid w:val="003F6AEE"/>
    <w:rsid w:val="00404A7D"/>
    <w:rsid w:val="00406FCD"/>
    <w:rsid w:val="0040727A"/>
    <w:rsid w:val="00412A0D"/>
    <w:rsid w:val="00414E7A"/>
    <w:rsid w:val="004155B1"/>
    <w:rsid w:val="0041609A"/>
    <w:rsid w:val="00417916"/>
    <w:rsid w:val="00417E37"/>
    <w:rsid w:val="004203F8"/>
    <w:rsid w:val="00420D1B"/>
    <w:rsid w:val="00423788"/>
    <w:rsid w:val="00423C37"/>
    <w:rsid w:val="0043071B"/>
    <w:rsid w:val="00430CEB"/>
    <w:rsid w:val="00431CAC"/>
    <w:rsid w:val="00431E3B"/>
    <w:rsid w:val="00432FC4"/>
    <w:rsid w:val="00441F66"/>
    <w:rsid w:val="0044786B"/>
    <w:rsid w:val="00451435"/>
    <w:rsid w:val="004538FC"/>
    <w:rsid w:val="00460E89"/>
    <w:rsid w:val="004616C4"/>
    <w:rsid w:val="004623DB"/>
    <w:rsid w:val="00462D04"/>
    <w:rsid w:val="004635B2"/>
    <w:rsid w:val="00463687"/>
    <w:rsid w:val="00464282"/>
    <w:rsid w:val="004706D3"/>
    <w:rsid w:val="00470E33"/>
    <w:rsid w:val="004752E1"/>
    <w:rsid w:val="00480977"/>
    <w:rsid w:val="004829B0"/>
    <w:rsid w:val="00482C1E"/>
    <w:rsid w:val="004841C3"/>
    <w:rsid w:val="0048557B"/>
    <w:rsid w:val="00485C84"/>
    <w:rsid w:val="00491F8A"/>
    <w:rsid w:val="00494352"/>
    <w:rsid w:val="00495113"/>
    <w:rsid w:val="004A0DD0"/>
    <w:rsid w:val="004A34EF"/>
    <w:rsid w:val="004B0111"/>
    <w:rsid w:val="004B07A7"/>
    <w:rsid w:val="004B1C18"/>
    <w:rsid w:val="004B4587"/>
    <w:rsid w:val="004B4C59"/>
    <w:rsid w:val="004B4EBD"/>
    <w:rsid w:val="004B7E8D"/>
    <w:rsid w:val="004C0A6B"/>
    <w:rsid w:val="004D2E6A"/>
    <w:rsid w:val="004D472F"/>
    <w:rsid w:val="004E3577"/>
    <w:rsid w:val="004E68CA"/>
    <w:rsid w:val="004E69F0"/>
    <w:rsid w:val="004E77BF"/>
    <w:rsid w:val="004E7AA3"/>
    <w:rsid w:val="004F0678"/>
    <w:rsid w:val="004F1662"/>
    <w:rsid w:val="004F176B"/>
    <w:rsid w:val="004F1C77"/>
    <w:rsid w:val="004F2116"/>
    <w:rsid w:val="004F2E62"/>
    <w:rsid w:val="004F3EFC"/>
    <w:rsid w:val="004F418B"/>
    <w:rsid w:val="004F51D0"/>
    <w:rsid w:val="004F5419"/>
    <w:rsid w:val="004F5491"/>
    <w:rsid w:val="004F569A"/>
    <w:rsid w:val="00501D7A"/>
    <w:rsid w:val="005035DE"/>
    <w:rsid w:val="00504968"/>
    <w:rsid w:val="005131F2"/>
    <w:rsid w:val="00513A53"/>
    <w:rsid w:val="00513CBF"/>
    <w:rsid w:val="00514924"/>
    <w:rsid w:val="00517E7C"/>
    <w:rsid w:val="0052233A"/>
    <w:rsid w:val="00524FC5"/>
    <w:rsid w:val="00525C88"/>
    <w:rsid w:val="0053543C"/>
    <w:rsid w:val="00535D66"/>
    <w:rsid w:val="00543181"/>
    <w:rsid w:val="005450C5"/>
    <w:rsid w:val="00552424"/>
    <w:rsid w:val="00552C6A"/>
    <w:rsid w:val="005536C0"/>
    <w:rsid w:val="005555AF"/>
    <w:rsid w:val="0055643B"/>
    <w:rsid w:val="00557A12"/>
    <w:rsid w:val="00562361"/>
    <w:rsid w:val="005624E7"/>
    <w:rsid w:val="00562E10"/>
    <w:rsid w:val="005632C4"/>
    <w:rsid w:val="00564509"/>
    <w:rsid w:val="00566F20"/>
    <w:rsid w:val="005732DF"/>
    <w:rsid w:val="005841EB"/>
    <w:rsid w:val="0058459B"/>
    <w:rsid w:val="0059035D"/>
    <w:rsid w:val="005934D3"/>
    <w:rsid w:val="005A218A"/>
    <w:rsid w:val="005A259C"/>
    <w:rsid w:val="005A5136"/>
    <w:rsid w:val="005A77D1"/>
    <w:rsid w:val="005A7AA6"/>
    <w:rsid w:val="005B4B81"/>
    <w:rsid w:val="005B735F"/>
    <w:rsid w:val="005C2539"/>
    <w:rsid w:val="005C630C"/>
    <w:rsid w:val="005D0F1A"/>
    <w:rsid w:val="005E3C4A"/>
    <w:rsid w:val="005E3EE2"/>
    <w:rsid w:val="005E50C1"/>
    <w:rsid w:val="005E7AC0"/>
    <w:rsid w:val="005F0AB4"/>
    <w:rsid w:val="005F1E71"/>
    <w:rsid w:val="005F2508"/>
    <w:rsid w:val="005F53F4"/>
    <w:rsid w:val="005F6BD9"/>
    <w:rsid w:val="00601237"/>
    <w:rsid w:val="006027E8"/>
    <w:rsid w:val="0060504D"/>
    <w:rsid w:val="00610C54"/>
    <w:rsid w:val="0061222F"/>
    <w:rsid w:val="00612897"/>
    <w:rsid w:val="00613FAD"/>
    <w:rsid w:val="0061706E"/>
    <w:rsid w:val="00620011"/>
    <w:rsid w:val="00620C1A"/>
    <w:rsid w:val="00621810"/>
    <w:rsid w:val="00621DCD"/>
    <w:rsid w:val="006242EA"/>
    <w:rsid w:val="0062482C"/>
    <w:rsid w:val="00631452"/>
    <w:rsid w:val="006326F4"/>
    <w:rsid w:val="0063483D"/>
    <w:rsid w:val="00635B9A"/>
    <w:rsid w:val="00637810"/>
    <w:rsid w:val="006440EF"/>
    <w:rsid w:val="006465E3"/>
    <w:rsid w:val="006516A9"/>
    <w:rsid w:val="00652B30"/>
    <w:rsid w:val="00653A34"/>
    <w:rsid w:val="006558EC"/>
    <w:rsid w:val="00655BEF"/>
    <w:rsid w:val="006611C2"/>
    <w:rsid w:val="006675D9"/>
    <w:rsid w:val="006759C0"/>
    <w:rsid w:val="00676D1E"/>
    <w:rsid w:val="00680173"/>
    <w:rsid w:val="00683441"/>
    <w:rsid w:val="00687E67"/>
    <w:rsid w:val="00690111"/>
    <w:rsid w:val="00690516"/>
    <w:rsid w:val="00693CF9"/>
    <w:rsid w:val="00694F16"/>
    <w:rsid w:val="006A2177"/>
    <w:rsid w:val="006A223C"/>
    <w:rsid w:val="006A258F"/>
    <w:rsid w:val="006A297B"/>
    <w:rsid w:val="006B2655"/>
    <w:rsid w:val="006B334C"/>
    <w:rsid w:val="006B5F63"/>
    <w:rsid w:val="006C049A"/>
    <w:rsid w:val="006C0ED3"/>
    <w:rsid w:val="006C22AE"/>
    <w:rsid w:val="006C3B9B"/>
    <w:rsid w:val="006C4ED6"/>
    <w:rsid w:val="006C7A48"/>
    <w:rsid w:val="006D329E"/>
    <w:rsid w:val="006D3E1E"/>
    <w:rsid w:val="006D4527"/>
    <w:rsid w:val="006E13EE"/>
    <w:rsid w:val="006E3599"/>
    <w:rsid w:val="006F412B"/>
    <w:rsid w:val="006F4607"/>
    <w:rsid w:val="006F4CB7"/>
    <w:rsid w:val="006F72DC"/>
    <w:rsid w:val="006F7FFA"/>
    <w:rsid w:val="00702085"/>
    <w:rsid w:val="007048D3"/>
    <w:rsid w:val="00706522"/>
    <w:rsid w:val="0070692A"/>
    <w:rsid w:val="00710DE3"/>
    <w:rsid w:val="007118CD"/>
    <w:rsid w:val="007169A9"/>
    <w:rsid w:val="00716D41"/>
    <w:rsid w:val="00716DB2"/>
    <w:rsid w:val="007201CF"/>
    <w:rsid w:val="007231D4"/>
    <w:rsid w:val="007239B7"/>
    <w:rsid w:val="0072419E"/>
    <w:rsid w:val="00724E9A"/>
    <w:rsid w:val="0073067B"/>
    <w:rsid w:val="00731168"/>
    <w:rsid w:val="0073759F"/>
    <w:rsid w:val="007400CB"/>
    <w:rsid w:val="00740773"/>
    <w:rsid w:val="00743295"/>
    <w:rsid w:val="00745377"/>
    <w:rsid w:val="007502D3"/>
    <w:rsid w:val="007509E6"/>
    <w:rsid w:val="00750FB7"/>
    <w:rsid w:val="00753856"/>
    <w:rsid w:val="00753F80"/>
    <w:rsid w:val="00757631"/>
    <w:rsid w:val="007601F1"/>
    <w:rsid w:val="007631A7"/>
    <w:rsid w:val="0077491D"/>
    <w:rsid w:val="00774E18"/>
    <w:rsid w:val="007752D0"/>
    <w:rsid w:val="00775D40"/>
    <w:rsid w:val="00777133"/>
    <w:rsid w:val="007806EC"/>
    <w:rsid w:val="00783C3D"/>
    <w:rsid w:val="00783E31"/>
    <w:rsid w:val="007859FE"/>
    <w:rsid w:val="0078631D"/>
    <w:rsid w:val="007909A2"/>
    <w:rsid w:val="007915A0"/>
    <w:rsid w:val="007919CE"/>
    <w:rsid w:val="00792295"/>
    <w:rsid w:val="00792579"/>
    <w:rsid w:val="007A0811"/>
    <w:rsid w:val="007A16CA"/>
    <w:rsid w:val="007A4282"/>
    <w:rsid w:val="007A5519"/>
    <w:rsid w:val="007A766A"/>
    <w:rsid w:val="007B1D97"/>
    <w:rsid w:val="007B1DB7"/>
    <w:rsid w:val="007B255A"/>
    <w:rsid w:val="007C669E"/>
    <w:rsid w:val="007E130A"/>
    <w:rsid w:val="007E26B9"/>
    <w:rsid w:val="007E4658"/>
    <w:rsid w:val="007E6449"/>
    <w:rsid w:val="007F094A"/>
    <w:rsid w:val="007F1561"/>
    <w:rsid w:val="007F2943"/>
    <w:rsid w:val="007F2CAD"/>
    <w:rsid w:val="007F4122"/>
    <w:rsid w:val="007F49F3"/>
    <w:rsid w:val="0080005C"/>
    <w:rsid w:val="0080119E"/>
    <w:rsid w:val="00803A26"/>
    <w:rsid w:val="008117E1"/>
    <w:rsid w:val="00811C35"/>
    <w:rsid w:val="00813D31"/>
    <w:rsid w:val="00814013"/>
    <w:rsid w:val="00814B4A"/>
    <w:rsid w:val="00815350"/>
    <w:rsid w:val="00816F4B"/>
    <w:rsid w:val="008246ED"/>
    <w:rsid w:val="00830160"/>
    <w:rsid w:val="00832839"/>
    <w:rsid w:val="008356BF"/>
    <w:rsid w:val="0083619D"/>
    <w:rsid w:val="00837EA0"/>
    <w:rsid w:val="00844CBD"/>
    <w:rsid w:val="00851603"/>
    <w:rsid w:val="008547EC"/>
    <w:rsid w:val="00863372"/>
    <w:rsid w:val="008635AD"/>
    <w:rsid w:val="00864832"/>
    <w:rsid w:val="00865FED"/>
    <w:rsid w:val="008678A4"/>
    <w:rsid w:val="00873D8F"/>
    <w:rsid w:val="00875D1F"/>
    <w:rsid w:val="00881920"/>
    <w:rsid w:val="00882A0A"/>
    <w:rsid w:val="00885C72"/>
    <w:rsid w:val="00887279"/>
    <w:rsid w:val="00894468"/>
    <w:rsid w:val="00897EEA"/>
    <w:rsid w:val="008A4778"/>
    <w:rsid w:val="008B1382"/>
    <w:rsid w:val="008B4F96"/>
    <w:rsid w:val="008B6477"/>
    <w:rsid w:val="008C1D33"/>
    <w:rsid w:val="008C26E4"/>
    <w:rsid w:val="008C44F5"/>
    <w:rsid w:val="008C6310"/>
    <w:rsid w:val="008D13E3"/>
    <w:rsid w:val="008D337B"/>
    <w:rsid w:val="008D7146"/>
    <w:rsid w:val="008D74C7"/>
    <w:rsid w:val="008E1EB5"/>
    <w:rsid w:val="008E3494"/>
    <w:rsid w:val="008E4006"/>
    <w:rsid w:val="008E480D"/>
    <w:rsid w:val="008E6AC9"/>
    <w:rsid w:val="008E76C0"/>
    <w:rsid w:val="008F70D7"/>
    <w:rsid w:val="0090039E"/>
    <w:rsid w:val="009003AA"/>
    <w:rsid w:val="0090338F"/>
    <w:rsid w:val="00903886"/>
    <w:rsid w:val="00905940"/>
    <w:rsid w:val="00906F75"/>
    <w:rsid w:val="009102B3"/>
    <w:rsid w:val="00911D8E"/>
    <w:rsid w:val="009156DF"/>
    <w:rsid w:val="009213CC"/>
    <w:rsid w:val="0093014F"/>
    <w:rsid w:val="00931665"/>
    <w:rsid w:val="00933D73"/>
    <w:rsid w:val="00933F95"/>
    <w:rsid w:val="00937AF8"/>
    <w:rsid w:val="0094315F"/>
    <w:rsid w:val="00944096"/>
    <w:rsid w:val="00944D43"/>
    <w:rsid w:val="00946ECC"/>
    <w:rsid w:val="00951F8A"/>
    <w:rsid w:val="0095588B"/>
    <w:rsid w:val="009612C9"/>
    <w:rsid w:val="00962E3D"/>
    <w:rsid w:val="009639E1"/>
    <w:rsid w:val="00964540"/>
    <w:rsid w:val="0097011E"/>
    <w:rsid w:val="009708FE"/>
    <w:rsid w:val="0098225C"/>
    <w:rsid w:val="009830C2"/>
    <w:rsid w:val="00983316"/>
    <w:rsid w:val="0099097A"/>
    <w:rsid w:val="009915B7"/>
    <w:rsid w:val="009920C4"/>
    <w:rsid w:val="00992760"/>
    <w:rsid w:val="0099286C"/>
    <w:rsid w:val="00992FF9"/>
    <w:rsid w:val="0099451A"/>
    <w:rsid w:val="009A3371"/>
    <w:rsid w:val="009A4AB3"/>
    <w:rsid w:val="009A5B15"/>
    <w:rsid w:val="009B478B"/>
    <w:rsid w:val="009C0F18"/>
    <w:rsid w:val="009C1B2A"/>
    <w:rsid w:val="009C2BE4"/>
    <w:rsid w:val="009C31A2"/>
    <w:rsid w:val="009C44B3"/>
    <w:rsid w:val="009C4CA4"/>
    <w:rsid w:val="009C6B8E"/>
    <w:rsid w:val="009C6EB4"/>
    <w:rsid w:val="009C779C"/>
    <w:rsid w:val="009D0BA7"/>
    <w:rsid w:val="009D546A"/>
    <w:rsid w:val="009D5718"/>
    <w:rsid w:val="009D736A"/>
    <w:rsid w:val="009D7A30"/>
    <w:rsid w:val="009E005A"/>
    <w:rsid w:val="009E2E49"/>
    <w:rsid w:val="009E580F"/>
    <w:rsid w:val="009E729E"/>
    <w:rsid w:val="009F0D47"/>
    <w:rsid w:val="009F1D9D"/>
    <w:rsid w:val="009F4046"/>
    <w:rsid w:val="009F5942"/>
    <w:rsid w:val="009F5A5B"/>
    <w:rsid w:val="009F5D92"/>
    <w:rsid w:val="009F763D"/>
    <w:rsid w:val="00A02E96"/>
    <w:rsid w:val="00A035B7"/>
    <w:rsid w:val="00A110BB"/>
    <w:rsid w:val="00A1182F"/>
    <w:rsid w:val="00A11889"/>
    <w:rsid w:val="00A11D7F"/>
    <w:rsid w:val="00A11E39"/>
    <w:rsid w:val="00A120E0"/>
    <w:rsid w:val="00A1332A"/>
    <w:rsid w:val="00A17EF8"/>
    <w:rsid w:val="00A21B2B"/>
    <w:rsid w:val="00A21F89"/>
    <w:rsid w:val="00A24023"/>
    <w:rsid w:val="00A26F99"/>
    <w:rsid w:val="00A3088A"/>
    <w:rsid w:val="00A30D38"/>
    <w:rsid w:val="00A33B39"/>
    <w:rsid w:val="00A33D81"/>
    <w:rsid w:val="00A35738"/>
    <w:rsid w:val="00A37D86"/>
    <w:rsid w:val="00A37DC2"/>
    <w:rsid w:val="00A47010"/>
    <w:rsid w:val="00A47497"/>
    <w:rsid w:val="00A479D7"/>
    <w:rsid w:val="00A500A4"/>
    <w:rsid w:val="00A50BCF"/>
    <w:rsid w:val="00A50E71"/>
    <w:rsid w:val="00A512C2"/>
    <w:rsid w:val="00A519DD"/>
    <w:rsid w:val="00A52283"/>
    <w:rsid w:val="00A56603"/>
    <w:rsid w:val="00A62D13"/>
    <w:rsid w:val="00A64682"/>
    <w:rsid w:val="00A67903"/>
    <w:rsid w:val="00A67C57"/>
    <w:rsid w:val="00A7189E"/>
    <w:rsid w:val="00A726E9"/>
    <w:rsid w:val="00A73A00"/>
    <w:rsid w:val="00A7759B"/>
    <w:rsid w:val="00A779F6"/>
    <w:rsid w:val="00A81C62"/>
    <w:rsid w:val="00A83F8D"/>
    <w:rsid w:val="00A8409F"/>
    <w:rsid w:val="00A84C4F"/>
    <w:rsid w:val="00A8681E"/>
    <w:rsid w:val="00A91A45"/>
    <w:rsid w:val="00A921BA"/>
    <w:rsid w:val="00A95168"/>
    <w:rsid w:val="00A968E5"/>
    <w:rsid w:val="00AA44F7"/>
    <w:rsid w:val="00AA49FB"/>
    <w:rsid w:val="00AB134E"/>
    <w:rsid w:val="00AB4EEB"/>
    <w:rsid w:val="00AB68CC"/>
    <w:rsid w:val="00AB6F75"/>
    <w:rsid w:val="00AB75DE"/>
    <w:rsid w:val="00AC2CBB"/>
    <w:rsid w:val="00AC68B1"/>
    <w:rsid w:val="00AC68E7"/>
    <w:rsid w:val="00AD2187"/>
    <w:rsid w:val="00AD58CD"/>
    <w:rsid w:val="00AD63B1"/>
    <w:rsid w:val="00AD69D3"/>
    <w:rsid w:val="00AD6DE4"/>
    <w:rsid w:val="00AE33C9"/>
    <w:rsid w:val="00AE3C56"/>
    <w:rsid w:val="00AE4970"/>
    <w:rsid w:val="00AE70B9"/>
    <w:rsid w:val="00AF10C6"/>
    <w:rsid w:val="00AF1D5B"/>
    <w:rsid w:val="00AF4E2A"/>
    <w:rsid w:val="00B009B0"/>
    <w:rsid w:val="00B00C74"/>
    <w:rsid w:val="00B0233A"/>
    <w:rsid w:val="00B06332"/>
    <w:rsid w:val="00B06661"/>
    <w:rsid w:val="00B10EE6"/>
    <w:rsid w:val="00B128A5"/>
    <w:rsid w:val="00B12E47"/>
    <w:rsid w:val="00B2351A"/>
    <w:rsid w:val="00B248AB"/>
    <w:rsid w:val="00B34365"/>
    <w:rsid w:val="00B35F4D"/>
    <w:rsid w:val="00B36008"/>
    <w:rsid w:val="00B371C2"/>
    <w:rsid w:val="00B41273"/>
    <w:rsid w:val="00B41BAD"/>
    <w:rsid w:val="00B44A49"/>
    <w:rsid w:val="00B51782"/>
    <w:rsid w:val="00B51DB3"/>
    <w:rsid w:val="00B54833"/>
    <w:rsid w:val="00B57A26"/>
    <w:rsid w:val="00B6004E"/>
    <w:rsid w:val="00B60965"/>
    <w:rsid w:val="00B65EB4"/>
    <w:rsid w:val="00B67A58"/>
    <w:rsid w:val="00B707E3"/>
    <w:rsid w:val="00B709F9"/>
    <w:rsid w:val="00B7131B"/>
    <w:rsid w:val="00B74E0D"/>
    <w:rsid w:val="00B763EE"/>
    <w:rsid w:val="00B766C3"/>
    <w:rsid w:val="00B767CC"/>
    <w:rsid w:val="00B77DF7"/>
    <w:rsid w:val="00B80361"/>
    <w:rsid w:val="00B80E63"/>
    <w:rsid w:val="00B8126D"/>
    <w:rsid w:val="00B85F00"/>
    <w:rsid w:val="00B86D0E"/>
    <w:rsid w:val="00B94CEC"/>
    <w:rsid w:val="00B97969"/>
    <w:rsid w:val="00BA0DBA"/>
    <w:rsid w:val="00BA11EE"/>
    <w:rsid w:val="00BA1C27"/>
    <w:rsid w:val="00BA56EE"/>
    <w:rsid w:val="00BA68FC"/>
    <w:rsid w:val="00BB0351"/>
    <w:rsid w:val="00BB0E16"/>
    <w:rsid w:val="00BB12B0"/>
    <w:rsid w:val="00BB1870"/>
    <w:rsid w:val="00BB1C76"/>
    <w:rsid w:val="00BB21B2"/>
    <w:rsid w:val="00BB261B"/>
    <w:rsid w:val="00BB277A"/>
    <w:rsid w:val="00BC35F3"/>
    <w:rsid w:val="00BC457E"/>
    <w:rsid w:val="00BC6972"/>
    <w:rsid w:val="00BC79E6"/>
    <w:rsid w:val="00BD04BA"/>
    <w:rsid w:val="00BD1D9B"/>
    <w:rsid w:val="00BD1E06"/>
    <w:rsid w:val="00BD3A9E"/>
    <w:rsid w:val="00BD46F2"/>
    <w:rsid w:val="00BD5896"/>
    <w:rsid w:val="00BE2FB9"/>
    <w:rsid w:val="00BE7115"/>
    <w:rsid w:val="00BF2A3C"/>
    <w:rsid w:val="00BF41F9"/>
    <w:rsid w:val="00BF5816"/>
    <w:rsid w:val="00BF61BE"/>
    <w:rsid w:val="00C02527"/>
    <w:rsid w:val="00C02736"/>
    <w:rsid w:val="00C02B59"/>
    <w:rsid w:val="00C06CE0"/>
    <w:rsid w:val="00C07D0D"/>
    <w:rsid w:val="00C12563"/>
    <w:rsid w:val="00C1709E"/>
    <w:rsid w:val="00C1716A"/>
    <w:rsid w:val="00C17A2E"/>
    <w:rsid w:val="00C259E0"/>
    <w:rsid w:val="00C26882"/>
    <w:rsid w:val="00C31088"/>
    <w:rsid w:val="00C312EE"/>
    <w:rsid w:val="00C36833"/>
    <w:rsid w:val="00C40534"/>
    <w:rsid w:val="00C419FB"/>
    <w:rsid w:val="00C427F0"/>
    <w:rsid w:val="00C43C27"/>
    <w:rsid w:val="00C45EB6"/>
    <w:rsid w:val="00C462FE"/>
    <w:rsid w:val="00C471F3"/>
    <w:rsid w:val="00C47AEC"/>
    <w:rsid w:val="00C5048D"/>
    <w:rsid w:val="00C56112"/>
    <w:rsid w:val="00C56F90"/>
    <w:rsid w:val="00C6128F"/>
    <w:rsid w:val="00C62C2B"/>
    <w:rsid w:val="00C64FEC"/>
    <w:rsid w:val="00C72B90"/>
    <w:rsid w:val="00C74B1B"/>
    <w:rsid w:val="00C7582D"/>
    <w:rsid w:val="00C7626C"/>
    <w:rsid w:val="00C7630A"/>
    <w:rsid w:val="00C8373F"/>
    <w:rsid w:val="00C83EA7"/>
    <w:rsid w:val="00C86DBD"/>
    <w:rsid w:val="00C87104"/>
    <w:rsid w:val="00C87734"/>
    <w:rsid w:val="00C91EFB"/>
    <w:rsid w:val="00C92BB1"/>
    <w:rsid w:val="00C93B55"/>
    <w:rsid w:val="00C93B74"/>
    <w:rsid w:val="00C947B6"/>
    <w:rsid w:val="00C95343"/>
    <w:rsid w:val="00C9768D"/>
    <w:rsid w:val="00CA1E9A"/>
    <w:rsid w:val="00CB04A3"/>
    <w:rsid w:val="00CB097D"/>
    <w:rsid w:val="00CB1554"/>
    <w:rsid w:val="00CC382D"/>
    <w:rsid w:val="00CC64A5"/>
    <w:rsid w:val="00CD157B"/>
    <w:rsid w:val="00CD1734"/>
    <w:rsid w:val="00CD293F"/>
    <w:rsid w:val="00CD604B"/>
    <w:rsid w:val="00CD6304"/>
    <w:rsid w:val="00CE0581"/>
    <w:rsid w:val="00CE2B2F"/>
    <w:rsid w:val="00CE44F6"/>
    <w:rsid w:val="00CE4968"/>
    <w:rsid w:val="00CE7CB5"/>
    <w:rsid w:val="00CF11F6"/>
    <w:rsid w:val="00CF16D9"/>
    <w:rsid w:val="00CF5F7D"/>
    <w:rsid w:val="00CF75EB"/>
    <w:rsid w:val="00CF78C3"/>
    <w:rsid w:val="00CF7D12"/>
    <w:rsid w:val="00D005EE"/>
    <w:rsid w:val="00D0157A"/>
    <w:rsid w:val="00D037A8"/>
    <w:rsid w:val="00D047B9"/>
    <w:rsid w:val="00D0512A"/>
    <w:rsid w:val="00D07C53"/>
    <w:rsid w:val="00D104D3"/>
    <w:rsid w:val="00D12558"/>
    <w:rsid w:val="00D20639"/>
    <w:rsid w:val="00D20D6D"/>
    <w:rsid w:val="00D23074"/>
    <w:rsid w:val="00D321B2"/>
    <w:rsid w:val="00D32211"/>
    <w:rsid w:val="00D324A2"/>
    <w:rsid w:val="00D32DBA"/>
    <w:rsid w:val="00D351B6"/>
    <w:rsid w:val="00D353A7"/>
    <w:rsid w:val="00D36875"/>
    <w:rsid w:val="00D36DDA"/>
    <w:rsid w:val="00D40701"/>
    <w:rsid w:val="00D413CC"/>
    <w:rsid w:val="00D4266B"/>
    <w:rsid w:val="00D43EDA"/>
    <w:rsid w:val="00D45C1C"/>
    <w:rsid w:val="00D45F4D"/>
    <w:rsid w:val="00D47429"/>
    <w:rsid w:val="00D5086C"/>
    <w:rsid w:val="00D5180D"/>
    <w:rsid w:val="00D57705"/>
    <w:rsid w:val="00D60A1B"/>
    <w:rsid w:val="00D60DD4"/>
    <w:rsid w:val="00D61A60"/>
    <w:rsid w:val="00D64936"/>
    <w:rsid w:val="00D70173"/>
    <w:rsid w:val="00D735D4"/>
    <w:rsid w:val="00D756B7"/>
    <w:rsid w:val="00D77997"/>
    <w:rsid w:val="00D81C94"/>
    <w:rsid w:val="00D9131F"/>
    <w:rsid w:val="00D91739"/>
    <w:rsid w:val="00D92343"/>
    <w:rsid w:val="00D93499"/>
    <w:rsid w:val="00D948C3"/>
    <w:rsid w:val="00D96760"/>
    <w:rsid w:val="00D97068"/>
    <w:rsid w:val="00D97B2A"/>
    <w:rsid w:val="00DA02EC"/>
    <w:rsid w:val="00DA29A4"/>
    <w:rsid w:val="00DA337A"/>
    <w:rsid w:val="00DA4D1A"/>
    <w:rsid w:val="00DA6D88"/>
    <w:rsid w:val="00DA7D69"/>
    <w:rsid w:val="00DB0BBD"/>
    <w:rsid w:val="00DB1667"/>
    <w:rsid w:val="00DB1DA9"/>
    <w:rsid w:val="00DB4649"/>
    <w:rsid w:val="00DB4CFB"/>
    <w:rsid w:val="00DC0EAC"/>
    <w:rsid w:val="00DC1AB5"/>
    <w:rsid w:val="00DC3A43"/>
    <w:rsid w:val="00DC4551"/>
    <w:rsid w:val="00DC4A99"/>
    <w:rsid w:val="00DC7AF3"/>
    <w:rsid w:val="00DD521F"/>
    <w:rsid w:val="00DD529C"/>
    <w:rsid w:val="00DD5C36"/>
    <w:rsid w:val="00DD7A25"/>
    <w:rsid w:val="00DE0124"/>
    <w:rsid w:val="00DE0B61"/>
    <w:rsid w:val="00DE519A"/>
    <w:rsid w:val="00DF2DBB"/>
    <w:rsid w:val="00DF454D"/>
    <w:rsid w:val="00DF6414"/>
    <w:rsid w:val="00DF7983"/>
    <w:rsid w:val="00E0044F"/>
    <w:rsid w:val="00E01BD8"/>
    <w:rsid w:val="00E07F1C"/>
    <w:rsid w:val="00E131F4"/>
    <w:rsid w:val="00E16797"/>
    <w:rsid w:val="00E17A72"/>
    <w:rsid w:val="00E23FC9"/>
    <w:rsid w:val="00E27790"/>
    <w:rsid w:val="00E27F4D"/>
    <w:rsid w:val="00E32BF4"/>
    <w:rsid w:val="00E32C8F"/>
    <w:rsid w:val="00E34AD2"/>
    <w:rsid w:val="00E37066"/>
    <w:rsid w:val="00E37CE7"/>
    <w:rsid w:val="00E37D33"/>
    <w:rsid w:val="00E42873"/>
    <w:rsid w:val="00E43F58"/>
    <w:rsid w:val="00E44A5D"/>
    <w:rsid w:val="00E455B8"/>
    <w:rsid w:val="00E45EBF"/>
    <w:rsid w:val="00E501EB"/>
    <w:rsid w:val="00E50916"/>
    <w:rsid w:val="00E51AFD"/>
    <w:rsid w:val="00E54171"/>
    <w:rsid w:val="00E55B7A"/>
    <w:rsid w:val="00E5642D"/>
    <w:rsid w:val="00E60411"/>
    <w:rsid w:val="00E627F2"/>
    <w:rsid w:val="00E632EF"/>
    <w:rsid w:val="00E67A41"/>
    <w:rsid w:val="00E757B4"/>
    <w:rsid w:val="00E76DC2"/>
    <w:rsid w:val="00E76F7E"/>
    <w:rsid w:val="00E806A3"/>
    <w:rsid w:val="00E809A2"/>
    <w:rsid w:val="00E81998"/>
    <w:rsid w:val="00E8319E"/>
    <w:rsid w:val="00E832E6"/>
    <w:rsid w:val="00E848D8"/>
    <w:rsid w:val="00E8540A"/>
    <w:rsid w:val="00E861C1"/>
    <w:rsid w:val="00E86BDD"/>
    <w:rsid w:val="00E86C97"/>
    <w:rsid w:val="00E9220C"/>
    <w:rsid w:val="00E92FB5"/>
    <w:rsid w:val="00E94877"/>
    <w:rsid w:val="00E97F02"/>
    <w:rsid w:val="00EA58A0"/>
    <w:rsid w:val="00EA608E"/>
    <w:rsid w:val="00EB0542"/>
    <w:rsid w:val="00EB0FED"/>
    <w:rsid w:val="00EB1EA3"/>
    <w:rsid w:val="00EB26F6"/>
    <w:rsid w:val="00EB50AD"/>
    <w:rsid w:val="00EC17FD"/>
    <w:rsid w:val="00EC1DE7"/>
    <w:rsid w:val="00EC6A64"/>
    <w:rsid w:val="00EC6B57"/>
    <w:rsid w:val="00EC780B"/>
    <w:rsid w:val="00ED054F"/>
    <w:rsid w:val="00ED2209"/>
    <w:rsid w:val="00ED32F0"/>
    <w:rsid w:val="00ED50D9"/>
    <w:rsid w:val="00ED584E"/>
    <w:rsid w:val="00EE19FF"/>
    <w:rsid w:val="00EE22DC"/>
    <w:rsid w:val="00EE416C"/>
    <w:rsid w:val="00EE674B"/>
    <w:rsid w:val="00EF1F24"/>
    <w:rsid w:val="00EF388A"/>
    <w:rsid w:val="00EF48CA"/>
    <w:rsid w:val="00EF4CFB"/>
    <w:rsid w:val="00EF58B5"/>
    <w:rsid w:val="00F04A8B"/>
    <w:rsid w:val="00F070A3"/>
    <w:rsid w:val="00F074B1"/>
    <w:rsid w:val="00F10CE0"/>
    <w:rsid w:val="00F12FCF"/>
    <w:rsid w:val="00F1715F"/>
    <w:rsid w:val="00F20BF6"/>
    <w:rsid w:val="00F22B8C"/>
    <w:rsid w:val="00F251EA"/>
    <w:rsid w:val="00F26A2F"/>
    <w:rsid w:val="00F31B59"/>
    <w:rsid w:val="00F346BF"/>
    <w:rsid w:val="00F3474A"/>
    <w:rsid w:val="00F3593F"/>
    <w:rsid w:val="00F35B23"/>
    <w:rsid w:val="00F3640E"/>
    <w:rsid w:val="00F405EC"/>
    <w:rsid w:val="00F43750"/>
    <w:rsid w:val="00F44C1A"/>
    <w:rsid w:val="00F45D46"/>
    <w:rsid w:val="00F46549"/>
    <w:rsid w:val="00F57F76"/>
    <w:rsid w:val="00F616AF"/>
    <w:rsid w:val="00F65C05"/>
    <w:rsid w:val="00F65CDE"/>
    <w:rsid w:val="00F66266"/>
    <w:rsid w:val="00F736BE"/>
    <w:rsid w:val="00F80D68"/>
    <w:rsid w:val="00F81223"/>
    <w:rsid w:val="00F82231"/>
    <w:rsid w:val="00F82243"/>
    <w:rsid w:val="00F83887"/>
    <w:rsid w:val="00F86724"/>
    <w:rsid w:val="00F90438"/>
    <w:rsid w:val="00F95FE8"/>
    <w:rsid w:val="00FA1B9D"/>
    <w:rsid w:val="00FA26F4"/>
    <w:rsid w:val="00FA51A7"/>
    <w:rsid w:val="00FA6653"/>
    <w:rsid w:val="00FA71A4"/>
    <w:rsid w:val="00FB0AF9"/>
    <w:rsid w:val="00FB1F74"/>
    <w:rsid w:val="00FB5441"/>
    <w:rsid w:val="00FC2046"/>
    <w:rsid w:val="00FC35A8"/>
    <w:rsid w:val="00FC7AE3"/>
    <w:rsid w:val="00FD3770"/>
    <w:rsid w:val="00FE017D"/>
    <w:rsid w:val="00FE1198"/>
    <w:rsid w:val="00FE2DE5"/>
    <w:rsid w:val="00FF276F"/>
    <w:rsid w:val="00FF49F2"/>
    <w:rsid w:val="00FF6B5A"/>
    <w:rsid w:val="00FF7C1A"/>
    <w:rsid w:val="00FF7CC2"/>
    <w:rsid w:val="0223BCCF"/>
    <w:rsid w:val="05FBD00F"/>
    <w:rsid w:val="0A7DE09C"/>
    <w:rsid w:val="0C29BA36"/>
    <w:rsid w:val="0C55B0AB"/>
    <w:rsid w:val="0FEDBB2D"/>
    <w:rsid w:val="1147A670"/>
    <w:rsid w:val="1298C51F"/>
    <w:rsid w:val="1552A465"/>
    <w:rsid w:val="18EFD87B"/>
    <w:rsid w:val="19000914"/>
    <w:rsid w:val="19A63E3A"/>
    <w:rsid w:val="1B33C868"/>
    <w:rsid w:val="1C52CC76"/>
    <w:rsid w:val="1CFBAD52"/>
    <w:rsid w:val="1F2D36EB"/>
    <w:rsid w:val="262B5F47"/>
    <w:rsid w:val="276F4357"/>
    <w:rsid w:val="28FCBE3A"/>
    <w:rsid w:val="29371E3E"/>
    <w:rsid w:val="2A042FE8"/>
    <w:rsid w:val="2BBDC5EA"/>
    <w:rsid w:val="2BE400D0"/>
    <w:rsid w:val="2C283C3C"/>
    <w:rsid w:val="2C6DD9D2"/>
    <w:rsid w:val="2D79ACB3"/>
    <w:rsid w:val="2E1A3E40"/>
    <w:rsid w:val="2E673811"/>
    <w:rsid w:val="3019F631"/>
    <w:rsid w:val="355084F4"/>
    <w:rsid w:val="38CCE3D7"/>
    <w:rsid w:val="38F858AD"/>
    <w:rsid w:val="3D367FE3"/>
    <w:rsid w:val="3FE729F4"/>
    <w:rsid w:val="459E8238"/>
    <w:rsid w:val="470DB0A1"/>
    <w:rsid w:val="4A2D4B24"/>
    <w:rsid w:val="4BC057A8"/>
    <w:rsid w:val="51780204"/>
    <w:rsid w:val="51D09CE4"/>
    <w:rsid w:val="57D61C2C"/>
    <w:rsid w:val="583D7B0A"/>
    <w:rsid w:val="59B9446F"/>
    <w:rsid w:val="5A360AF1"/>
    <w:rsid w:val="5B2080F1"/>
    <w:rsid w:val="5D17F245"/>
    <w:rsid w:val="5FCD6649"/>
    <w:rsid w:val="62512EA3"/>
    <w:rsid w:val="677D073E"/>
    <w:rsid w:val="681713B5"/>
    <w:rsid w:val="68189082"/>
    <w:rsid w:val="68819A34"/>
    <w:rsid w:val="6D319578"/>
    <w:rsid w:val="6E428468"/>
    <w:rsid w:val="6FB541C8"/>
    <w:rsid w:val="701131E5"/>
    <w:rsid w:val="71285526"/>
    <w:rsid w:val="75603B09"/>
    <w:rsid w:val="764F6939"/>
    <w:rsid w:val="766A81C6"/>
    <w:rsid w:val="79959937"/>
    <w:rsid w:val="7AE76772"/>
    <w:rsid w:val="7B2EB919"/>
    <w:rsid w:val="7E40C5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o,Footnote Text Char2 Char"/>
    <w:basedOn w:val="Normal"/>
    <w:link w:val="FootnoteTextChar"/>
    <w:uiPriority w:val="99"/>
    <w:unhideWhenUsed/>
    <w:qFormat/>
    <w:rsid w:val="00AD63B1"/>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AD63B1"/>
    <w:rPr>
      <w:sz w:val="20"/>
    </w:rPr>
  </w:style>
  <w:style w:type="character" w:styleId="CommentReference">
    <w:name w:val="annotation reference"/>
    <w:basedOn w:val="DefaultParagraphFont"/>
    <w:uiPriority w:val="99"/>
    <w:semiHidden/>
    <w:unhideWhenUsed/>
    <w:locked/>
    <w:rsid w:val="00AD63B1"/>
    <w:rPr>
      <w:sz w:val="16"/>
      <w:szCs w:val="16"/>
    </w:rPr>
  </w:style>
  <w:style w:type="paragraph" w:styleId="CommentText">
    <w:name w:val="annotation text"/>
    <w:basedOn w:val="Normal"/>
    <w:link w:val="CommentTextChar"/>
    <w:uiPriority w:val="99"/>
    <w:unhideWhenUsed/>
    <w:locked/>
    <w:rsid w:val="00AD63B1"/>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AD63B1"/>
    <w:rPr>
      <w:rFonts w:eastAsiaTheme="minorHAnsi" w:cstheme="minorBidi"/>
      <w:sz w:val="20"/>
      <w:lang w:val="en-US" w:eastAsia="en-US"/>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AD63B1"/>
    <w:rPr>
      <w:vertAlign w:val="superscript"/>
    </w:rPr>
  </w:style>
  <w:style w:type="character" w:customStyle="1" w:styleId="TitleChar">
    <w:name w:val="Title Char"/>
    <w:basedOn w:val="DefaultParagraphFont"/>
    <w:link w:val="Title"/>
    <w:uiPriority w:val="10"/>
    <w:rsid w:val="00AD63B1"/>
    <w:rPr>
      <w:b/>
      <w:kern w:val="28"/>
      <w:sz w:val="48"/>
    </w:rPr>
  </w:style>
  <w:style w:type="table" w:styleId="GridTable7Colorful-Accent6">
    <w:name w:val="Grid Table 7 Colorful Accent 6"/>
    <w:basedOn w:val="TableNormal"/>
    <w:uiPriority w:val="52"/>
    <w:locked/>
    <w:rsid w:val="00AD63B1"/>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AD63B1"/>
    <w:rPr>
      <w:b/>
      <w:smallCaps/>
    </w:rPr>
  </w:style>
  <w:style w:type="character" w:customStyle="1" w:styleId="Heading2Char">
    <w:name w:val="Heading 2 Char"/>
    <w:basedOn w:val="DefaultParagraphFont"/>
    <w:link w:val="Heading2"/>
    <w:uiPriority w:val="9"/>
    <w:rsid w:val="00AD63B1"/>
    <w:rPr>
      <w:b/>
    </w:rPr>
  </w:style>
  <w:style w:type="character" w:customStyle="1" w:styleId="Heading3Char">
    <w:name w:val="Heading 3 Char"/>
    <w:basedOn w:val="DefaultParagraphFont"/>
    <w:link w:val="Heading3"/>
    <w:uiPriority w:val="9"/>
    <w:rsid w:val="00AD63B1"/>
    <w:rPr>
      <w:i/>
    </w:rPr>
  </w:style>
  <w:style w:type="character" w:customStyle="1" w:styleId="Heading4Char">
    <w:name w:val="Heading 4 Char"/>
    <w:basedOn w:val="DefaultParagraphFont"/>
    <w:link w:val="Heading4"/>
    <w:uiPriority w:val="9"/>
    <w:rsid w:val="00AD63B1"/>
  </w:style>
  <w:style w:type="character" w:customStyle="1" w:styleId="Heading5Char">
    <w:name w:val="Heading 5 Char"/>
    <w:basedOn w:val="DefaultParagraphFont"/>
    <w:link w:val="Heading5"/>
    <w:uiPriority w:val="9"/>
    <w:semiHidden/>
    <w:rsid w:val="00AD63B1"/>
  </w:style>
  <w:style w:type="character" w:customStyle="1" w:styleId="Heading6Char">
    <w:name w:val="Heading 6 Char"/>
    <w:basedOn w:val="DefaultParagraphFont"/>
    <w:link w:val="Heading6"/>
    <w:uiPriority w:val="9"/>
    <w:semiHidden/>
    <w:rsid w:val="00AD63B1"/>
  </w:style>
  <w:style w:type="character" w:customStyle="1" w:styleId="Heading7Char">
    <w:name w:val="Heading 7 Char"/>
    <w:basedOn w:val="DefaultParagraphFont"/>
    <w:link w:val="Heading7"/>
    <w:uiPriority w:val="9"/>
    <w:semiHidden/>
    <w:rsid w:val="00AD63B1"/>
  </w:style>
  <w:style w:type="character" w:customStyle="1" w:styleId="Heading8Char">
    <w:name w:val="Heading 8 Char"/>
    <w:basedOn w:val="DefaultParagraphFont"/>
    <w:link w:val="Heading8"/>
    <w:uiPriority w:val="9"/>
    <w:semiHidden/>
    <w:rsid w:val="00AD63B1"/>
  </w:style>
  <w:style w:type="character" w:customStyle="1" w:styleId="Heading9Char">
    <w:name w:val="Heading 9 Char"/>
    <w:basedOn w:val="DefaultParagraphFont"/>
    <w:link w:val="Heading9"/>
    <w:uiPriority w:val="9"/>
    <w:semiHidden/>
    <w:rsid w:val="00AD63B1"/>
  </w:style>
  <w:style w:type="paragraph" w:customStyle="1" w:styleId="FootnoteRoLReport">
    <w:name w:val="Footnote RoL Report"/>
    <w:basedOn w:val="FootnoteText"/>
    <w:link w:val="FootnoteRoLReportChar"/>
    <w:autoRedefine/>
    <w:qFormat/>
    <w:rsid w:val="00792295"/>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792295"/>
    <w:rPr>
      <w:rFonts w:eastAsiaTheme="minorHAnsi" w:cstheme="minorBidi"/>
      <w:sz w:val="20"/>
      <w:lang w:val="en-US" w:eastAsia="en-US"/>
    </w:rPr>
  </w:style>
  <w:style w:type="paragraph" w:styleId="ListParagraph">
    <w:name w:val="List Paragraph"/>
    <w:aliases w:val="Fiche List Paragraph,OBC Bullet,Dot pt,F5 List Paragraph,List Paragraph1,No Spacing1,List Paragraph Char Char Char,Indicator Text,Colorful List - Accent 11,Numbered Para 1,Bullet Points,MAIN CONTENT,List Paragraph11,2,Bullet St,L"/>
    <w:basedOn w:val="Normal"/>
    <w:link w:val="ListParagraphChar"/>
    <w:uiPriority w:val="34"/>
    <w:qFormat/>
    <w:locked/>
    <w:rsid w:val="00AD63B1"/>
    <w:pPr>
      <w:ind w:left="720"/>
      <w:contextualSpacing/>
    </w:pPr>
    <w:rPr>
      <w:rFonts w:eastAsiaTheme="minorHAnsi" w:cstheme="minorBidi"/>
      <w:szCs w:val="22"/>
      <w:lang w:val="en-US" w:eastAsia="en-US"/>
    </w:rPr>
  </w:style>
  <w:style w:type="character" w:styleId="Hyperlink">
    <w:name w:val="Hyperlink"/>
    <w:basedOn w:val="DefaultParagraphFont"/>
    <w:uiPriority w:val="99"/>
    <w:unhideWhenUsed/>
    <w:locked/>
    <w:rsid w:val="00AD63B1"/>
    <w:rPr>
      <w:color w:val="0563C1"/>
      <w:u w:val="single"/>
    </w:rPr>
  </w:style>
  <w:style w:type="paragraph" w:styleId="CommentSubject">
    <w:name w:val="annotation subject"/>
    <w:basedOn w:val="CommentText"/>
    <w:next w:val="CommentText"/>
    <w:link w:val="CommentSubjectChar"/>
    <w:uiPriority w:val="99"/>
    <w:semiHidden/>
    <w:unhideWhenUsed/>
    <w:locked/>
    <w:rsid w:val="00AD63B1"/>
    <w:rPr>
      <w:b/>
      <w:bCs/>
    </w:rPr>
  </w:style>
  <w:style w:type="character" w:customStyle="1" w:styleId="CommentSubjectChar">
    <w:name w:val="Comment Subject Char"/>
    <w:basedOn w:val="CommentTextChar"/>
    <w:link w:val="CommentSubject"/>
    <w:uiPriority w:val="99"/>
    <w:semiHidden/>
    <w:rsid w:val="00AD63B1"/>
    <w:rPr>
      <w:rFonts w:eastAsiaTheme="minorHAnsi" w:cstheme="minorBidi"/>
      <w:b/>
      <w:bCs/>
      <w:sz w:val="20"/>
      <w:lang w:val="en-US" w:eastAsia="en-US"/>
    </w:rPr>
  </w:style>
  <w:style w:type="paragraph" w:styleId="Revision">
    <w:name w:val="Revision"/>
    <w:hidden/>
    <w:uiPriority w:val="99"/>
    <w:semiHidden/>
    <w:locked/>
    <w:rsid w:val="00AD63B1"/>
    <w:rPr>
      <w:rFonts w:eastAsiaTheme="minorHAnsi" w:cstheme="minorBidi"/>
      <w:szCs w:val="22"/>
      <w:lang w:val="en-US"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D63B1"/>
    <w:pPr>
      <w:spacing w:after="160" w:line="240" w:lineRule="exact"/>
    </w:pPr>
    <w:rPr>
      <w:vertAlign w:val="superscript"/>
    </w:rPr>
  </w:style>
  <w:style w:type="paragraph" w:styleId="Subtitle">
    <w:name w:val="Subtitle"/>
    <w:basedOn w:val="Normal"/>
    <w:next w:val="Normal"/>
    <w:link w:val="SubtitleChar"/>
    <w:uiPriority w:val="11"/>
    <w:qFormat/>
    <w:locked/>
    <w:rsid w:val="00AD63B1"/>
    <w:pPr>
      <w:numPr>
        <w:ilvl w:val="1"/>
      </w:numPr>
      <w:spacing w:after="160" w:line="276"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D63B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resolvedMention">
    <w:name w:val="Unresolved Mention"/>
    <w:basedOn w:val="DefaultParagraphFont"/>
    <w:uiPriority w:val="99"/>
    <w:semiHidden/>
    <w:unhideWhenUsed/>
    <w:rsid w:val="00AD63B1"/>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uiPriority w:val="99"/>
    <w:rsid w:val="00AD63B1"/>
    <w:pPr>
      <w:spacing w:after="160" w:line="240" w:lineRule="exact"/>
    </w:pPr>
    <w:rPr>
      <w:rFonts w:asciiTheme="minorHAnsi" w:eastAsiaTheme="minorHAnsi" w:hAnsiTheme="minorHAnsi" w:cstheme="minorBidi"/>
      <w:sz w:val="22"/>
      <w:szCs w:val="22"/>
      <w:vertAlign w:val="superscript"/>
      <w:lang w:val="en-US" w:eastAsia="en-US"/>
    </w:rPr>
  </w:style>
  <w:style w:type="character" w:customStyle="1" w:styleId="Mention">
    <w:name w:val="Mention"/>
    <w:basedOn w:val="DefaultParagraphFont"/>
    <w:uiPriority w:val="99"/>
    <w:unhideWhenUsed/>
    <w:rsid w:val="00AD63B1"/>
    <w:rPr>
      <w:color w:val="2B579A"/>
      <w:shd w:val="clear" w:color="auto" w:fill="E1DFDD"/>
    </w:rPr>
  </w:style>
  <w:style w:type="character" w:styleId="FollowedHyperlink">
    <w:name w:val="FollowedHyperlink"/>
    <w:basedOn w:val="DefaultParagraphFont"/>
    <w:uiPriority w:val="99"/>
    <w:semiHidden/>
    <w:unhideWhenUsed/>
    <w:locked/>
    <w:rsid w:val="00AD63B1"/>
    <w:rPr>
      <w:color w:val="954F72" w:themeColor="followedHyperlink"/>
      <w:u w:val="single"/>
    </w:rPr>
  </w:style>
  <w:style w:type="paragraph" w:styleId="NormalWeb">
    <w:name w:val="Normal (Web)"/>
    <w:basedOn w:val="Normal"/>
    <w:uiPriority w:val="99"/>
    <w:semiHidden/>
    <w:unhideWhenUsed/>
    <w:locked/>
    <w:rsid w:val="00AD63B1"/>
    <w:rPr>
      <w:rFonts w:eastAsiaTheme="minorHAnsi"/>
      <w:szCs w:val="24"/>
      <w:lang w:val="en-US" w:eastAsia="en-US"/>
    </w:rPr>
  </w:style>
  <w:style w:type="character" w:customStyle="1" w:styleId="FootnoteTextChar1">
    <w:name w:val="Footnote Text Char1"/>
    <w:basedOn w:val="DefaultParagraphFont"/>
    <w:uiPriority w:val="99"/>
    <w:semiHidden/>
    <w:rsid w:val="00AD63B1"/>
    <w:rPr>
      <w:sz w:val="20"/>
      <w:szCs w:val="20"/>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9C4CA4"/>
    <w:rPr>
      <w:rFonts w:eastAsiaTheme="minorHAnsi"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769640">
      <w:bodyDiv w:val="1"/>
      <w:marLeft w:val="0"/>
      <w:marRight w:val="0"/>
      <w:marTop w:val="0"/>
      <w:marBottom w:val="0"/>
      <w:divBdr>
        <w:top w:val="none" w:sz="0" w:space="0" w:color="auto"/>
        <w:left w:val="none" w:sz="0" w:space="0" w:color="auto"/>
        <w:bottom w:val="none" w:sz="0" w:space="0" w:color="auto"/>
        <w:right w:val="none" w:sz="0" w:space="0" w:color="auto"/>
      </w:divBdr>
    </w:div>
    <w:div w:id="868106764">
      <w:bodyDiv w:val="1"/>
      <w:marLeft w:val="0"/>
      <w:marRight w:val="0"/>
      <w:marTop w:val="0"/>
      <w:marBottom w:val="0"/>
      <w:divBdr>
        <w:top w:val="none" w:sz="0" w:space="0" w:color="auto"/>
        <w:left w:val="none" w:sz="0" w:space="0" w:color="auto"/>
        <w:bottom w:val="none" w:sz="0" w:space="0" w:color="auto"/>
        <w:right w:val="none" w:sz="0" w:space="0" w:color="auto"/>
      </w:divBdr>
    </w:div>
    <w:div w:id="1464690444">
      <w:bodyDiv w:val="1"/>
      <w:marLeft w:val="0"/>
      <w:marRight w:val="0"/>
      <w:marTop w:val="0"/>
      <w:marBottom w:val="0"/>
      <w:divBdr>
        <w:top w:val="none" w:sz="0" w:space="0" w:color="auto"/>
        <w:left w:val="none" w:sz="0" w:space="0" w:color="auto"/>
        <w:bottom w:val="none" w:sz="0" w:space="0" w:color="auto"/>
        <w:right w:val="none" w:sz="0" w:space="0" w:color="auto"/>
      </w:divBdr>
    </w:div>
    <w:div w:id="2013096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defenseurdesdroits.fr/sites/default/files/2026-04/ddd_rapport-annuel-2025_20260407.pdf" TargetMode="External"/><Relationship Id="rId39" Type="http://schemas.openxmlformats.org/officeDocument/2006/relationships/hyperlink" Target="https://www.fidh.org/en/region/europe-central-asia/france/public-freedoms-in-danger-alarm-over-repression-in-france" TargetMode="External"/><Relationship Id="rId21" Type="http://schemas.openxmlformats.org/officeDocument/2006/relationships/footer" Target="footer3.xml"/><Relationship Id="rId34" Type="http://schemas.openxmlformats.org/officeDocument/2006/relationships/hyperlink" Target="https://rm.coe.int/grecorc5-2025-19-final-eng-add-to-the-2nd-compliance-report-france-pub/488029c290" TargetMode="External"/><Relationship Id="rId42" Type="http://schemas.openxmlformats.org/officeDocument/2006/relationships/hyperlink" Target="https://www.legifrance.gouv.fr/loda/id/LEGIARTI000050052857/2026-06-04?isSuggest=true" TargetMode="External"/><Relationship Id="rId47" Type="http://schemas.openxmlformats.org/officeDocument/2006/relationships/hyperlink" Target="https://www.assemblee-nationale.fr/dyn/17/rapports/ceaudio/l17b2698-t1_rapport-enquete" TargetMode="External"/><Relationship Id="rId50" Type="http://schemas.openxmlformats.org/officeDocument/2006/relationships/hyperlink" Target="https://www.senat.fr/fileadmin/Senateurs/Elections/2023/Guide_Deontologique_du_Senateur.pdf" TargetMode="External"/><Relationship Id="rId55" Type="http://schemas.openxmlformats.org/officeDocument/2006/relationships/header" Target="header5.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civicspacewatch.eu/wp-content/uploads/2026/05/Civic-Space-Report-2026-European-Civic-Forum-3.pdf" TargetMode="External"/><Relationship Id="rId41" Type="http://schemas.openxmlformats.org/officeDocument/2006/relationships/hyperlink" Target="https://www.legifrance.gouv.fr/loda/id/LEGIARTI000051736628/2026-06-04?isSuggest=true"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cncdh.fr/actualite/preserver-lespace-civique-un-enjeu-majeur-pour-la-democratie-et-les-droits-humains" TargetMode="External"/><Relationship Id="rId32" Type="http://schemas.openxmlformats.org/officeDocument/2006/relationships/hyperlink" Target="https://www.agence-francaise-anticorruption.gouv.fr/fr" TargetMode="External"/><Relationship Id="rId37" Type="http://schemas.openxmlformats.org/officeDocument/2006/relationships/hyperlink" Target="https://www.conseil-superieur-magistrature.fr/actualites/le-csm-recu-lelysee-par-le-president-de-la-republique" TargetMode="External"/><Relationship Id="rId40" Type="http://schemas.openxmlformats.org/officeDocument/2006/relationships/hyperlink" Target="https://www.legifrance.gouv.fr/loda/id/JORFTEXT000054131304?isSuggest=true" TargetMode="External"/><Relationship Id="rId45" Type="http://schemas.openxmlformats.org/officeDocument/2006/relationships/hyperlink" Target="https://www2.assemblee-nationale.fr/17/statistiques-de-l-activite-parlementaire" TargetMode="External"/><Relationship Id="rId53" Type="http://schemas.openxmlformats.org/officeDocument/2006/relationships/hyperlink" Target="https://libertesassociatives.org/ressource/presentation-des-resultats-de-la-premiere-enquete-nationale-sur-les-relations-entre-associations-et-pouvoirs-publics/" TargetMode="External"/><Relationship Id="rId58"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arcom.fr/sites/default/files/2026-05/Arcom-etude-sur-la-perception-de-impartialite-de-audiovisuel-public.pdf" TargetMode="External"/><Relationship Id="rId28" Type="http://schemas.openxmlformats.org/officeDocument/2006/relationships/hyperlink" Target="https://rule-of-law.ennhri.org/export?country%5B0%5D=69&amp;year%5B0%5D=2026" TargetMode="External"/><Relationship Id="rId36" Type="http://schemas.openxmlformats.org/officeDocument/2006/relationships/hyperlink" Target="https://www.hatvp.fr/wordpress/wp-content/uploads/2026/05/HATVP_BILAN-RAISONNE_dp.pdf" TargetMode="External"/><Relationship Id="rId49" Type="http://schemas.openxmlformats.org/officeDocument/2006/relationships/hyperlink" Target="https://www.elysee.fr/admin/upload/default/0001/19/b7c19bfb2f5d5acd875534a0042f33732a2dac01.pdf" TargetMode="External"/><Relationship Id="rId57" Type="http://schemas.openxmlformats.org/officeDocument/2006/relationships/footer" Target="footer5.xml"/><Relationship Id="rId61"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hudoc.echr.coe.int/rum" TargetMode="External"/><Relationship Id="rId44" Type="http://schemas.openxmlformats.org/officeDocument/2006/relationships/hyperlink" Target="https://www.union-syndicale-magistrats.org/enm-prevenir-les-derives-garantir-la-transparence/" TargetMode="External"/><Relationship Id="rId52" Type="http://schemas.openxmlformats.org/officeDocument/2006/relationships/hyperlink" Target="https://transparency-france.org/wp-content/uploads/2026/04/Transparency-France_Plan-alternatif_19-mesures-pour-faire-reculer-durablement-la-corruption-en-France.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www.defenseurdesdroits.fr/sites/default/files/2026-04/ddd_rapport_droit-au-juge_20260415.pdf" TargetMode="External"/><Relationship Id="rId30" Type="http://schemas.openxmlformats.org/officeDocument/2006/relationships/hyperlink" Target="https://hudoc.echr.coe.int/eng" TargetMode="External"/><Relationship Id="rId35" Type="http://schemas.openxmlformats.org/officeDocument/2006/relationships/hyperlink" Target="https://rm.coe.int/second-addendum-to-the-second-compliance-report-france-4th-evaluation-/1680ae51d2" TargetMode="External"/><Relationship Id="rId43" Type="http://schemas.openxmlformats.org/officeDocument/2006/relationships/hyperlink" Target="https://www.union-syndicale-magistrats.org/quand-letat-de-droit-vacille-lusm-agit/" TargetMode="External"/><Relationship Id="rId48" Type="http://schemas.openxmlformats.org/officeDocument/2006/relationships/hyperlink" Target="https://www.assemblee-nationale.fr/dyn/17/documents/cion_lois/l17n870210094_document.pdf" TargetMode="External"/><Relationship Id="rId56" Type="http://schemas.openxmlformats.org/officeDocument/2006/relationships/footer" Target="footer4.xml"/><Relationship Id="rId8" Type="http://schemas.openxmlformats.org/officeDocument/2006/relationships/customXml" Target="../customXml/item8.xml"/><Relationship Id="rId51" Type="http://schemas.openxmlformats.org/officeDocument/2006/relationships/hyperlink" Target="https://www.snj.fr/le-pluralisme-et-la-concentration-des-medias-devant-le-conseil-detat/2601"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rm.coe.int/2025-annual-report/48802b1633" TargetMode="External"/><Relationship Id="rId33" Type="http://schemas.openxmlformats.org/officeDocument/2006/relationships/hyperlink" Target="https://www.agence-francaise-anticorruption.gouv.fr/files/2026-03/National%20Multi-Year%20Plan%20to%20Fight%20Corruption%202025-2029.pdf" TargetMode="External"/><Relationship Id="rId38" Type="http://schemas.openxmlformats.org/officeDocument/2006/relationships/hyperlink" Target="https://www.hrw.org/fr/news/2025/12/12/recul-de-letat-de-droit-en-france" TargetMode="External"/><Relationship Id="rId46" Type="http://schemas.openxmlformats.org/officeDocument/2006/relationships/hyperlink" Target="https://www.cncdh.fr/publications/avis-sur-la-restriction-de-lespace-civique-un-enjeu-majeur-pour-la-democratie-et-les" TargetMode="External"/><Relationship Id="rId59"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4A112804-86FB-44B0-8224-06D087BA6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EC3561-4A5E-4EB7-9088-127C1A611629}">
  <ds:schemaRefs>
    <ds:schemaRef ds:uri="http://schemas.microsoft.com/sharepoint/v3/contenttype/forms"/>
  </ds:schemaRefs>
</ds:datastoreItem>
</file>

<file path=customXml/itemProps4.xml><?xml version="1.0" encoding="utf-8"?>
<ds:datastoreItem xmlns:ds="http://schemas.openxmlformats.org/officeDocument/2006/customXml" ds:itemID="{1CE3CCF7-09F2-46A1-8DDC-22DEE86A7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C7BCF05-2493-48EC-9C92-BC1E312CE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8729</Words>
  <Characters>49757</Characters>
  <Application>Microsoft Office Word</Application>
  <DocSecurity>0</DocSecurity>
  <PresentationFormat>Microsoft Word 14.0</PresentationFormat>
  <Lines>414</Lines>
  <Paragraphs>116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58370</CharactersWithSpaces>
  <SharedDoc>false</SharedDoc>
  <HLinks>
    <vt:vector size="204" baseType="variant">
      <vt:variant>
        <vt:i4>4456519</vt:i4>
      </vt:variant>
      <vt:variant>
        <vt:i4>93</vt:i4>
      </vt:variant>
      <vt:variant>
        <vt:i4>0</vt:i4>
      </vt:variant>
      <vt:variant>
        <vt:i4>5</vt:i4>
      </vt:variant>
      <vt:variant>
        <vt:lpwstr>https://libertesassociatives.org/ressource/presentation-des-resultats-de-la-premiere-enquete-nationale-sur-les-relations-entre-associations-et-pouvoirs-publics/</vt:lpwstr>
      </vt:variant>
      <vt:variant>
        <vt:lpwstr/>
      </vt:variant>
      <vt:variant>
        <vt:i4>6225949</vt:i4>
      </vt:variant>
      <vt:variant>
        <vt:i4>90</vt:i4>
      </vt:variant>
      <vt:variant>
        <vt:i4>0</vt:i4>
      </vt:variant>
      <vt:variant>
        <vt:i4>5</vt:i4>
      </vt:variant>
      <vt:variant>
        <vt:lpwstr>https://transparency-france.org/wp-content/uploads/2026/04/Transparency-France_Plan-alternatif_19-mesures-pour-faire-reculer-durablement-la-corruption-en-France.pdf</vt:lpwstr>
      </vt:variant>
      <vt:variant>
        <vt:lpwstr/>
      </vt:variant>
      <vt:variant>
        <vt:i4>1769546</vt:i4>
      </vt:variant>
      <vt:variant>
        <vt:i4>87</vt:i4>
      </vt:variant>
      <vt:variant>
        <vt:i4>0</vt:i4>
      </vt:variant>
      <vt:variant>
        <vt:i4>5</vt:i4>
      </vt:variant>
      <vt:variant>
        <vt:lpwstr>https://www.snj.fr/le-pluralisme-et-la-concentration-des-medias-devant-le-conseil-detat/2601</vt:lpwstr>
      </vt:variant>
      <vt:variant>
        <vt:lpwstr/>
      </vt:variant>
      <vt:variant>
        <vt:i4>7667717</vt:i4>
      </vt:variant>
      <vt:variant>
        <vt:i4>84</vt:i4>
      </vt:variant>
      <vt:variant>
        <vt:i4>0</vt:i4>
      </vt:variant>
      <vt:variant>
        <vt:i4>5</vt:i4>
      </vt:variant>
      <vt:variant>
        <vt:lpwstr>https://www.senat.fr/fileadmin/Senateurs/Elections/2023/Guide_Deontologique_du_Senateur.pdf</vt:lpwstr>
      </vt:variant>
      <vt:variant>
        <vt:lpwstr/>
      </vt:variant>
      <vt:variant>
        <vt:i4>7995514</vt:i4>
      </vt:variant>
      <vt:variant>
        <vt:i4>81</vt:i4>
      </vt:variant>
      <vt:variant>
        <vt:i4>0</vt:i4>
      </vt:variant>
      <vt:variant>
        <vt:i4>5</vt:i4>
      </vt:variant>
      <vt:variant>
        <vt:lpwstr>https://www.elysee.fr/admin/upload/default/0001/19/b7c19bfb2f5d5acd875534a0042f33732a2dac01.pdf</vt:lpwstr>
      </vt:variant>
      <vt:variant>
        <vt:lpwstr/>
      </vt:variant>
      <vt:variant>
        <vt:i4>3014783</vt:i4>
      </vt:variant>
      <vt:variant>
        <vt:i4>78</vt:i4>
      </vt:variant>
      <vt:variant>
        <vt:i4>0</vt:i4>
      </vt:variant>
      <vt:variant>
        <vt:i4>5</vt:i4>
      </vt:variant>
      <vt:variant>
        <vt:lpwstr>https://www.assemblee-nationale.fr/dyn/17/documents/cion_lois/l17n870210094_document.pdf</vt:lpwstr>
      </vt:variant>
      <vt:variant>
        <vt:lpwstr/>
      </vt:variant>
      <vt:variant>
        <vt:i4>7209048</vt:i4>
      </vt:variant>
      <vt:variant>
        <vt:i4>75</vt:i4>
      </vt:variant>
      <vt:variant>
        <vt:i4>0</vt:i4>
      </vt:variant>
      <vt:variant>
        <vt:i4>5</vt:i4>
      </vt:variant>
      <vt:variant>
        <vt:lpwstr>https://www.assemblee-nationale.fr/dyn/17/rapports/ceaudio/l17b2698-t1_rapport-enquete</vt:lpwstr>
      </vt:variant>
      <vt:variant>
        <vt:lpwstr/>
      </vt:variant>
      <vt:variant>
        <vt:i4>3997793</vt:i4>
      </vt:variant>
      <vt:variant>
        <vt:i4>72</vt:i4>
      </vt:variant>
      <vt:variant>
        <vt:i4>0</vt:i4>
      </vt:variant>
      <vt:variant>
        <vt:i4>5</vt:i4>
      </vt:variant>
      <vt:variant>
        <vt:lpwstr>https://www.cncdh.fr/publications/avis-sur-la-restriction-de-lespace-civique-un-enjeu-majeur-pour-la-democratie-et-les</vt:lpwstr>
      </vt:variant>
      <vt:variant>
        <vt:lpwstr/>
      </vt:variant>
      <vt:variant>
        <vt:i4>3473531</vt:i4>
      </vt:variant>
      <vt:variant>
        <vt:i4>69</vt:i4>
      </vt:variant>
      <vt:variant>
        <vt:i4>0</vt:i4>
      </vt:variant>
      <vt:variant>
        <vt:i4>5</vt:i4>
      </vt:variant>
      <vt:variant>
        <vt:lpwstr>https://www2.assemblee-nationale.fr/17/statistiques-de-l-activite-parlementaire</vt:lpwstr>
      </vt:variant>
      <vt:variant>
        <vt:lpwstr/>
      </vt:variant>
      <vt:variant>
        <vt:i4>6225990</vt:i4>
      </vt:variant>
      <vt:variant>
        <vt:i4>66</vt:i4>
      </vt:variant>
      <vt:variant>
        <vt:i4>0</vt:i4>
      </vt:variant>
      <vt:variant>
        <vt:i4>5</vt:i4>
      </vt:variant>
      <vt:variant>
        <vt:lpwstr>https://www.union-syndicale-magistrats.org/enm-prevenir-les-derives-garantir-la-transparence/</vt:lpwstr>
      </vt:variant>
      <vt:variant>
        <vt:lpwstr/>
      </vt:variant>
      <vt:variant>
        <vt:i4>2883702</vt:i4>
      </vt:variant>
      <vt:variant>
        <vt:i4>63</vt:i4>
      </vt:variant>
      <vt:variant>
        <vt:i4>0</vt:i4>
      </vt:variant>
      <vt:variant>
        <vt:i4>5</vt:i4>
      </vt:variant>
      <vt:variant>
        <vt:lpwstr>https://www.union-syndicale-magistrats.org/quand-letat-de-droit-vacille-lusm-agit/</vt:lpwstr>
      </vt:variant>
      <vt:variant>
        <vt:lpwstr/>
      </vt:variant>
      <vt:variant>
        <vt:i4>4259917</vt:i4>
      </vt:variant>
      <vt:variant>
        <vt:i4>60</vt:i4>
      </vt:variant>
      <vt:variant>
        <vt:i4>0</vt:i4>
      </vt:variant>
      <vt:variant>
        <vt:i4>5</vt:i4>
      </vt:variant>
      <vt:variant>
        <vt:lpwstr>https://www.legifrance.gouv.fr/loda/id/LEGIARTI000050052857/2026-06-04?isSuggest=true</vt:lpwstr>
      </vt:variant>
      <vt:variant>
        <vt:lpwstr/>
      </vt:variant>
      <vt:variant>
        <vt:i4>4522059</vt:i4>
      </vt:variant>
      <vt:variant>
        <vt:i4>57</vt:i4>
      </vt:variant>
      <vt:variant>
        <vt:i4>0</vt:i4>
      </vt:variant>
      <vt:variant>
        <vt:i4>5</vt:i4>
      </vt:variant>
      <vt:variant>
        <vt:lpwstr>https://www.legifrance.gouv.fr/loda/id/LEGIARTI000051736628/2026-06-04?isSuggest=true</vt:lpwstr>
      </vt:variant>
      <vt:variant>
        <vt:lpwstr/>
      </vt:variant>
      <vt:variant>
        <vt:i4>2490476</vt:i4>
      </vt:variant>
      <vt:variant>
        <vt:i4>54</vt:i4>
      </vt:variant>
      <vt:variant>
        <vt:i4>0</vt:i4>
      </vt:variant>
      <vt:variant>
        <vt:i4>5</vt:i4>
      </vt:variant>
      <vt:variant>
        <vt:lpwstr>https://www.legifrance.gouv.fr/loda/id/JORFTEXT000054131304?isSuggest=true</vt:lpwstr>
      </vt:variant>
      <vt:variant>
        <vt:lpwstr/>
      </vt:variant>
      <vt:variant>
        <vt:i4>3997732</vt:i4>
      </vt:variant>
      <vt:variant>
        <vt:i4>51</vt:i4>
      </vt:variant>
      <vt:variant>
        <vt:i4>0</vt:i4>
      </vt:variant>
      <vt:variant>
        <vt:i4>5</vt:i4>
      </vt:variant>
      <vt:variant>
        <vt:lpwstr>https://www.fidh.org/en/region/europe-central-asia/france/public-freedoms-in-danger-alarm-over-repression-in-france</vt:lpwstr>
      </vt:variant>
      <vt:variant>
        <vt:lpwstr/>
      </vt:variant>
      <vt:variant>
        <vt:i4>1179722</vt:i4>
      </vt:variant>
      <vt:variant>
        <vt:i4>48</vt:i4>
      </vt:variant>
      <vt:variant>
        <vt:i4>0</vt:i4>
      </vt:variant>
      <vt:variant>
        <vt:i4>5</vt:i4>
      </vt:variant>
      <vt:variant>
        <vt:lpwstr>https://www.hrw.org/fr/news/2025/12/12/recul-de-letat-de-droit-en-france</vt:lpwstr>
      </vt:variant>
      <vt:variant>
        <vt:lpwstr/>
      </vt:variant>
      <vt:variant>
        <vt:i4>3670071</vt:i4>
      </vt:variant>
      <vt:variant>
        <vt:i4>45</vt:i4>
      </vt:variant>
      <vt:variant>
        <vt:i4>0</vt:i4>
      </vt:variant>
      <vt:variant>
        <vt:i4>5</vt:i4>
      </vt:variant>
      <vt:variant>
        <vt:lpwstr>https://www.conseil-superieur-magistrature.fr/actualites/le-csm-recu-lelysee-par-le-president-de-la-republique</vt:lpwstr>
      </vt:variant>
      <vt:variant>
        <vt:lpwstr/>
      </vt:variant>
      <vt:variant>
        <vt:i4>7798900</vt:i4>
      </vt:variant>
      <vt:variant>
        <vt:i4>42</vt:i4>
      </vt:variant>
      <vt:variant>
        <vt:i4>0</vt:i4>
      </vt:variant>
      <vt:variant>
        <vt:i4>5</vt:i4>
      </vt:variant>
      <vt:variant>
        <vt:lpwstr>https://www.hatvp.fr/wordpress/wp-content/uploads/2026/05/HATVP_BILAN-RAISONNE_dp.pdf</vt:lpwstr>
      </vt:variant>
      <vt:variant>
        <vt:lpwstr/>
      </vt:variant>
      <vt:variant>
        <vt:i4>6160407</vt:i4>
      </vt:variant>
      <vt:variant>
        <vt:i4>39</vt:i4>
      </vt:variant>
      <vt:variant>
        <vt:i4>0</vt:i4>
      </vt:variant>
      <vt:variant>
        <vt:i4>5</vt:i4>
      </vt:variant>
      <vt:variant>
        <vt:lpwstr>https://rm.coe.int/second-addendum-to-the-second-compliance-report-france-4th-evaluation-/1680ae51d2</vt:lpwstr>
      </vt:variant>
      <vt:variant>
        <vt:lpwstr/>
      </vt:variant>
      <vt:variant>
        <vt:i4>4784205</vt:i4>
      </vt:variant>
      <vt:variant>
        <vt:i4>36</vt:i4>
      </vt:variant>
      <vt:variant>
        <vt:i4>0</vt:i4>
      </vt:variant>
      <vt:variant>
        <vt:i4>5</vt:i4>
      </vt:variant>
      <vt:variant>
        <vt:lpwstr>https://rm.coe.int/grecorc5-2025-19-final-eng-add-to-the-2nd-compliance-report-france-pub/488029c290</vt:lpwstr>
      </vt:variant>
      <vt:variant>
        <vt:lpwstr/>
      </vt:variant>
      <vt:variant>
        <vt:i4>1507417</vt:i4>
      </vt:variant>
      <vt:variant>
        <vt:i4>33</vt:i4>
      </vt:variant>
      <vt:variant>
        <vt:i4>0</vt:i4>
      </vt:variant>
      <vt:variant>
        <vt:i4>5</vt:i4>
      </vt:variant>
      <vt:variant>
        <vt:lpwstr>https://www.agence-francaise-anticorruption.gouv.fr/files/2026-03/National Multi-Year Plan to Fight Corruption 2025-2029.pdf</vt:lpwstr>
      </vt:variant>
      <vt:variant>
        <vt:lpwstr/>
      </vt:variant>
      <vt:variant>
        <vt:i4>2752620</vt:i4>
      </vt:variant>
      <vt:variant>
        <vt:i4>30</vt:i4>
      </vt:variant>
      <vt:variant>
        <vt:i4>0</vt:i4>
      </vt:variant>
      <vt:variant>
        <vt:i4>5</vt:i4>
      </vt:variant>
      <vt:variant>
        <vt:lpwstr>https://www.agence-francaise-anticorruption.gouv.fr/fr</vt:lpwstr>
      </vt:variant>
      <vt:variant>
        <vt:lpwstr/>
      </vt:variant>
      <vt:variant>
        <vt:i4>4063349</vt:i4>
      </vt:variant>
      <vt:variant>
        <vt:i4>27</vt:i4>
      </vt:variant>
      <vt:variant>
        <vt:i4>0</vt:i4>
      </vt:variant>
      <vt:variant>
        <vt:i4>5</vt:i4>
      </vt:variant>
      <vt:variant>
        <vt:lpwstr>https://hudoc.echr.coe.int/rum</vt:lpwstr>
      </vt:variant>
      <vt:variant>
        <vt:lpwstr>{%22itemid%22:[%22002-14486%22]}</vt:lpwstr>
      </vt:variant>
      <vt:variant>
        <vt:i4>1245213</vt:i4>
      </vt:variant>
      <vt:variant>
        <vt:i4>24</vt:i4>
      </vt:variant>
      <vt:variant>
        <vt:i4>0</vt:i4>
      </vt:variant>
      <vt:variant>
        <vt:i4>5</vt:i4>
      </vt:variant>
      <vt:variant>
        <vt:lpwstr>https://hudoc.echr.coe.int/eng</vt:lpwstr>
      </vt:variant>
      <vt:variant>
        <vt:lpwstr>{%22itemid%22:[%22001-241984%22]}</vt:lpwstr>
      </vt:variant>
      <vt:variant>
        <vt:i4>589912</vt:i4>
      </vt:variant>
      <vt:variant>
        <vt:i4>21</vt:i4>
      </vt:variant>
      <vt:variant>
        <vt:i4>0</vt:i4>
      </vt:variant>
      <vt:variant>
        <vt:i4>5</vt:i4>
      </vt:variant>
      <vt:variant>
        <vt:lpwstr>https://civicspacewatch.eu/wp-content/uploads/2026/05/Civic-Space-Report-2026-European-Civic-Forum-3.pdf</vt:lpwstr>
      </vt:variant>
      <vt:variant>
        <vt:lpwstr/>
      </vt:variant>
      <vt:variant>
        <vt:i4>4849750</vt:i4>
      </vt:variant>
      <vt:variant>
        <vt:i4>18</vt:i4>
      </vt:variant>
      <vt:variant>
        <vt:i4>0</vt:i4>
      </vt:variant>
      <vt:variant>
        <vt:i4>5</vt:i4>
      </vt:variant>
      <vt:variant>
        <vt:lpwstr>https://rule-of-law.ennhri.org/export?country%5B0%5D=69&amp;year%5B0%5D=2026</vt:lpwstr>
      </vt:variant>
      <vt:variant>
        <vt:lpwstr/>
      </vt:variant>
      <vt:variant>
        <vt:i4>2162715</vt:i4>
      </vt:variant>
      <vt:variant>
        <vt:i4>15</vt:i4>
      </vt:variant>
      <vt:variant>
        <vt:i4>0</vt:i4>
      </vt:variant>
      <vt:variant>
        <vt:i4>5</vt:i4>
      </vt:variant>
      <vt:variant>
        <vt:lpwstr>https://www.defenseurdesdroits.fr/sites/default/files/2026-04/ddd_rapport_droit-au-juge_20260415.pdf</vt:lpwstr>
      </vt:variant>
      <vt:variant>
        <vt:lpwstr/>
      </vt:variant>
      <vt:variant>
        <vt:i4>6815867</vt:i4>
      </vt:variant>
      <vt:variant>
        <vt:i4>12</vt:i4>
      </vt:variant>
      <vt:variant>
        <vt:i4>0</vt:i4>
      </vt:variant>
      <vt:variant>
        <vt:i4>5</vt:i4>
      </vt:variant>
      <vt:variant>
        <vt:lpwstr>https://www.defenseurdesdroits.fr/sites/default/files/2026-04/ddd_rapport-annuel-2025_20260407.pdf</vt:lpwstr>
      </vt:variant>
      <vt:variant>
        <vt:lpwstr/>
      </vt:variant>
      <vt:variant>
        <vt:i4>851992</vt:i4>
      </vt:variant>
      <vt:variant>
        <vt:i4>9</vt:i4>
      </vt:variant>
      <vt:variant>
        <vt:i4>0</vt:i4>
      </vt:variant>
      <vt:variant>
        <vt:i4>5</vt:i4>
      </vt:variant>
      <vt:variant>
        <vt:lpwstr>https://rm.coe.int/2025-annual-report/48802b1633</vt:lpwstr>
      </vt:variant>
      <vt:variant>
        <vt:lpwstr/>
      </vt:variant>
      <vt:variant>
        <vt:i4>4521986</vt:i4>
      </vt:variant>
      <vt:variant>
        <vt:i4>6</vt:i4>
      </vt:variant>
      <vt:variant>
        <vt:i4>0</vt:i4>
      </vt:variant>
      <vt:variant>
        <vt:i4>5</vt:i4>
      </vt:variant>
      <vt:variant>
        <vt:lpwstr>https://www.cncdh.fr/actualite/preserver-lespace-civique-un-enjeu-majeur-pour-la-democratie-et-les-droits-humains</vt:lpwstr>
      </vt:variant>
      <vt:variant>
        <vt:lpwstr/>
      </vt:variant>
      <vt:variant>
        <vt:i4>1835073</vt:i4>
      </vt:variant>
      <vt:variant>
        <vt:i4>3</vt:i4>
      </vt:variant>
      <vt:variant>
        <vt:i4>0</vt:i4>
      </vt:variant>
      <vt:variant>
        <vt:i4>5</vt:i4>
      </vt:variant>
      <vt:variant>
        <vt:lpwstr>https://www.arcom.fr/sites/default/files/2026-05/Arcom-etude-sur-la-perception-de-impartialite-de-audiovisuel-public.pdf</vt:lpwstr>
      </vt:variant>
      <vt:variant>
        <vt:lpwstr/>
      </vt:variant>
      <vt:variant>
        <vt:i4>6619165</vt:i4>
      </vt:variant>
      <vt:variant>
        <vt:i4>0</vt:i4>
      </vt:variant>
      <vt:variant>
        <vt:i4>0</vt:i4>
      </vt:variant>
      <vt:variant>
        <vt:i4>5</vt:i4>
      </vt:variant>
      <vt:variant>
        <vt:lpwstr>https://commission.europa.eu/publications/2026-rule-law-report-targeted-stakeholder-consultation_en</vt:lpwstr>
      </vt:variant>
      <vt:variant>
        <vt:lpwstr/>
      </vt:variant>
      <vt:variant>
        <vt:i4>4587524</vt:i4>
      </vt:variant>
      <vt:variant>
        <vt:i4>3</vt:i4>
      </vt:variant>
      <vt:variant>
        <vt:i4>0</vt:i4>
      </vt:variant>
      <vt:variant>
        <vt:i4>5</vt:i4>
      </vt:variant>
      <vt:variant>
        <vt:lpwstr>https://www.coe.int/en/web/execution/the-supervision-process</vt:lpwstr>
      </vt:variant>
      <vt:variant>
        <vt:lpwstr/>
      </vt:variant>
      <vt:variant>
        <vt:i4>2031731</vt:i4>
      </vt:variant>
      <vt:variant>
        <vt:i4>0</vt:i4>
      </vt:variant>
      <vt:variant>
        <vt:i4>0</vt:i4>
      </vt:variant>
      <vt:variant>
        <vt:i4>5</vt:i4>
      </vt:variant>
      <vt:variant>
        <vt:lpwstr>https://commission.europa.eu/document/c19f24ea-0362-4375-9edf-9665fddbc6af_en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2026-07-15T21:50:00Z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0x010100CD92FCBF67B53A4EB1060DF04C43C986</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Created using">
    <vt:lpwstr>LW 7.0.1, Build 20200226</vt:lpwstr>
  </property>
  <property fmtid="{D5CDD505-2E9C-101B-9397-08002B2CF9AE}" pid="12" name="Total parts">
    <vt:lpwstr>1</vt:lpwstr>
  </property>
  <property fmtid="{D5CDD505-2E9C-101B-9397-08002B2CF9AE}" pid="13" name="DocStatus">
    <vt:lpwstr>Green</vt:lpwstr>
  </property>
  <property fmtid="{D5CDD505-2E9C-101B-9397-08002B2CF9AE}" pid="14" name="_LW_INVALIDATED__LW_INVALIDATED__LW_INVALIDATED__LW_INVALIDATED__LW_INVALIDATED__LW_INVALIDATED_ELDocType">
    <vt:lpwstr>not.dot</vt:lpwstr>
  </property>
  <property fmtid="{D5CDD505-2E9C-101B-9397-08002B2CF9AE}" pid="15" name="MSIP_Label_6bd9ddd1-4d20-43f6-abfa-fc3c07406f94_SetDate">
    <vt:lpwstr>2025-05-05T11:50:19Z</vt:lpwstr>
  </property>
  <property fmtid="{D5CDD505-2E9C-101B-9397-08002B2CF9AE}" pid="16" name="Level of sensitivity">
    <vt:lpwstr>Standard treatment</vt:lpwstr>
  </property>
  <property fmtid="{D5CDD505-2E9C-101B-9397-08002B2CF9AE}" pid="17" name="MSIP_Label_6bd9ddd1-4d20-43f6-abfa-fc3c07406f94_ActionId">
    <vt:lpwstr>e823f9cb-365b-49a6-9fdb-ba57f995eef9</vt:lpwstr>
  </property>
  <property fmtid="{D5CDD505-2E9C-101B-9397-08002B2CF9AE}" pid="18" name="_LW_INVALIDATED__LW_INVALIDATED__LW_INVALIDATED__LW_INVALIDATED__LW_INVALIDATED__LW_INVALIDATED_EurolookVersion">
    <vt:lpwstr>10.0</vt:lpwstr>
  </property>
  <property fmtid="{D5CDD505-2E9C-101B-9397-08002B2CF9AE}" pid="19" name="CPTemplateID">
    <vt:lpwstr>CP-025</vt:lpwstr>
  </property>
</Properties>
</file>